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28"/>
          <w:szCs w:val="28"/>
        </w:rPr>
      </w:pPr>
      <w:r>
        <w:rPr>
          <w:rFonts w:hint="eastAsia"/>
          <w:b/>
          <w:bCs/>
          <w:sz w:val="28"/>
          <w:szCs w:val="28"/>
        </w:rPr>
        <w:t>南京苏中药物研究所采购制备色谱及配套小型冻干机设备</w:t>
      </w:r>
    </w:p>
    <w:p>
      <w:pPr>
        <w:jc w:val="center"/>
        <w:rPr>
          <w:b/>
          <w:bCs/>
          <w:sz w:val="28"/>
          <w:szCs w:val="28"/>
        </w:rPr>
      </w:pPr>
      <w:r>
        <w:rPr>
          <w:rFonts w:hint="eastAsia"/>
          <w:b/>
          <w:bCs/>
          <w:sz w:val="28"/>
          <w:szCs w:val="28"/>
        </w:rPr>
        <w:t>招标技术参数</w:t>
      </w:r>
    </w:p>
    <w:p>
      <w:pPr>
        <w:rPr>
          <w:sz w:val="24"/>
        </w:rPr>
      </w:pPr>
      <w:r>
        <w:rPr>
          <w:rFonts w:hint="eastAsia"/>
          <w:sz w:val="24"/>
        </w:rPr>
        <w:t>总体设备配制要求：</w:t>
      </w:r>
    </w:p>
    <w:tbl>
      <w:tblPr>
        <w:tblStyle w:val="7"/>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2"/>
        <w:gridCol w:w="3367"/>
        <w:gridCol w:w="4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trPr>
        <w:tc>
          <w:tcPr>
            <w:tcW w:w="9962" w:type="dxa"/>
            <w:gridSpan w:val="3"/>
            <w:vAlign w:val="center"/>
          </w:tcPr>
          <w:p>
            <w:pPr>
              <w:jc w:val="center"/>
              <w:rPr>
                <w:rFonts w:ascii="Times New Roman" w:hAnsi="Times New Roman" w:eastAsia="宋体" w:cs="Times New Roman"/>
                <w:b/>
                <w:bCs/>
                <w:kern w:val="0"/>
                <w:sz w:val="21"/>
                <w:szCs w:val="21"/>
              </w:rPr>
            </w:pPr>
            <w:r>
              <w:rPr>
                <w:rFonts w:hint="eastAsia" w:ascii="Times New Roman" w:hAnsi="Times New Roman" w:eastAsia="宋体" w:cs="Times New Roman"/>
                <w:b/>
                <w:bCs/>
                <w:kern w:val="0"/>
                <w:sz w:val="21"/>
                <w:szCs w:val="21"/>
              </w:rPr>
              <w:t>制备</w:t>
            </w:r>
            <w:r>
              <w:rPr>
                <w:rFonts w:ascii="Times New Roman" w:hAnsi="Times New Roman" w:eastAsia="宋体" w:cs="Times New Roman"/>
                <w:b/>
                <w:bCs/>
                <w:kern w:val="0"/>
                <w:sz w:val="21"/>
                <w:szCs w:val="21"/>
              </w:rPr>
              <w:t>液相色谱仪参数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trPr>
        <w:tc>
          <w:tcPr>
            <w:tcW w:w="2552" w:type="dxa"/>
            <w:vAlign w:val="center"/>
          </w:tcPr>
          <w:p>
            <w:pPr>
              <w:jc w:val="center"/>
              <w:rPr>
                <w:rFonts w:ascii="Times New Roman" w:hAnsi="Times New Roman" w:eastAsia="宋体" w:cs="Times New Roman"/>
                <w:b/>
                <w:bCs/>
                <w:kern w:val="0"/>
                <w:sz w:val="21"/>
                <w:szCs w:val="21"/>
              </w:rPr>
            </w:pPr>
            <w:r>
              <w:rPr>
                <w:rFonts w:hint="eastAsia" w:ascii="Times New Roman" w:hAnsi="Times New Roman" w:eastAsia="宋体" w:cs="Times New Roman"/>
                <w:b/>
                <w:bCs/>
                <w:kern w:val="0"/>
                <w:sz w:val="21"/>
                <w:szCs w:val="21"/>
              </w:rPr>
              <w:t>组件名称</w:t>
            </w:r>
          </w:p>
        </w:tc>
        <w:tc>
          <w:tcPr>
            <w:tcW w:w="3367" w:type="dxa"/>
            <w:vAlign w:val="center"/>
          </w:tcPr>
          <w:p>
            <w:pPr>
              <w:jc w:val="center"/>
              <w:rPr>
                <w:rFonts w:ascii="Times New Roman" w:hAnsi="Times New Roman" w:eastAsia="宋体" w:cs="Times New Roman"/>
                <w:b/>
                <w:bCs/>
                <w:kern w:val="0"/>
                <w:sz w:val="21"/>
                <w:szCs w:val="21"/>
              </w:rPr>
            </w:pPr>
            <w:r>
              <w:rPr>
                <w:rFonts w:hint="eastAsia" w:ascii="Times New Roman" w:hAnsi="Times New Roman" w:eastAsia="宋体" w:cs="Times New Roman"/>
                <w:b/>
                <w:bCs/>
                <w:kern w:val="0"/>
                <w:sz w:val="21"/>
                <w:szCs w:val="21"/>
              </w:rPr>
              <w:t>技术参数项目</w:t>
            </w:r>
          </w:p>
        </w:tc>
        <w:tc>
          <w:tcPr>
            <w:tcW w:w="4043" w:type="dxa"/>
            <w:vAlign w:val="center"/>
          </w:tcPr>
          <w:p>
            <w:pPr>
              <w:jc w:val="center"/>
              <w:rPr>
                <w:rFonts w:ascii="Times New Roman" w:hAnsi="Times New Roman" w:eastAsia="宋体" w:cs="Times New Roman"/>
                <w:b/>
                <w:bCs/>
                <w:kern w:val="0"/>
                <w:sz w:val="21"/>
                <w:szCs w:val="21"/>
              </w:rPr>
            </w:pPr>
            <w:r>
              <w:rPr>
                <w:rFonts w:hint="eastAsia" w:ascii="Times New Roman" w:hAnsi="Times New Roman" w:eastAsia="宋体" w:cs="Times New Roman"/>
                <w:b/>
                <w:bCs/>
                <w:kern w:val="0"/>
                <w:sz w:val="21"/>
                <w:szCs w:val="21"/>
              </w:rPr>
              <w:t>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2552" w:type="dxa"/>
            <w:vMerge w:val="restart"/>
            <w:vAlign w:val="center"/>
          </w:tcPr>
          <w:p>
            <w:pPr>
              <w:spacing w:line="276" w:lineRule="auto"/>
              <w:jc w:val="center"/>
              <w:rPr>
                <w:rFonts w:ascii="Times New Roman" w:hAnsi="Times New Roman" w:eastAsia="宋体" w:cs="Times New Roman"/>
                <w:b/>
                <w:bCs/>
                <w:kern w:val="0"/>
                <w:sz w:val="21"/>
                <w:szCs w:val="21"/>
              </w:rPr>
            </w:pPr>
            <w:r>
              <w:rPr>
                <w:rFonts w:ascii="Times New Roman" w:hAnsi="Times New Roman" w:eastAsia="宋体" w:cs="Times New Roman"/>
                <w:b/>
                <w:bCs/>
                <w:kern w:val="0"/>
                <w:sz w:val="21"/>
                <w:szCs w:val="21"/>
              </w:rPr>
              <w:t>进样系统</w:t>
            </w:r>
          </w:p>
        </w:tc>
        <w:tc>
          <w:tcPr>
            <w:tcW w:w="3367" w:type="dxa"/>
            <w:vAlign w:val="center"/>
          </w:tcPr>
          <w:p>
            <w:pPr>
              <w:pStyle w:val="11"/>
              <w:adjustRightInd w:val="0"/>
              <w:snapToGrid w:val="0"/>
              <w:spacing w:line="276" w:lineRule="auto"/>
              <w:jc w:val="left"/>
              <w:rPr>
                <w:rFonts w:ascii="Times New Roman" w:hAnsi="Times New Roman" w:eastAsia="宋体" w:cs="Times New Roman"/>
                <w:kern w:val="0"/>
                <w:sz w:val="21"/>
                <w:szCs w:val="21"/>
                <w:lang w:eastAsia="zh-CN"/>
              </w:rPr>
            </w:pPr>
            <w:r>
              <w:rPr>
                <w:rFonts w:ascii="Times New Roman" w:hAnsi="Times New Roman" w:eastAsia="宋体" w:cs="Times New Roman"/>
                <w:kern w:val="0"/>
                <w:sz w:val="21"/>
                <w:szCs w:val="21"/>
                <w:lang w:eastAsia="zh-CN"/>
              </w:rPr>
              <w:t>手动进样阀</w:t>
            </w:r>
            <w:r>
              <w:rPr>
                <w:rFonts w:hint="eastAsia" w:ascii="Times New Roman" w:hAnsi="Times New Roman" w:eastAsia="宋体" w:cs="Times New Roman"/>
                <w:kern w:val="0"/>
                <w:sz w:val="21"/>
                <w:szCs w:val="21"/>
                <w:lang w:eastAsia="zh-CN"/>
              </w:rPr>
              <w:t>（含20ml定量环）</w:t>
            </w:r>
          </w:p>
        </w:tc>
        <w:tc>
          <w:tcPr>
            <w:tcW w:w="4043" w:type="dxa"/>
            <w:vAlign w:val="center"/>
          </w:tcPr>
          <w:p>
            <w:pPr>
              <w:spacing w:line="276" w:lineRule="auto"/>
              <w:jc w:val="left"/>
              <w:rPr>
                <w:rFonts w:ascii="Times New Roman" w:hAnsi="Times New Roman" w:eastAsia="宋体" w:cs="Times New Roman"/>
                <w:kern w:val="0"/>
                <w:sz w:val="21"/>
                <w:szCs w:val="21"/>
              </w:rPr>
            </w:pPr>
            <w:r>
              <w:rPr>
                <w:rFonts w:ascii="Times New Roman" w:hAnsi="Times New Roman" w:eastAsia="宋体" w:cs="Times New Roman"/>
                <w:kern w:val="0"/>
                <w:sz w:val="21"/>
                <w:szCs w:val="21"/>
              </w:rPr>
              <w:t>不小于</w:t>
            </w:r>
            <w:r>
              <w:rPr>
                <w:rFonts w:hint="eastAsia" w:ascii="Times New Roman" w:hAnsi="Times New Roman" w:eastAsia="宋体" w:cs="Times New Roman"/>
                <w:kern w:val="0"/>
                <w:sz w:val="21"/>
                <w:szCs w:val="21"/>
              </w:rPr>
              <w:t>20ml定量环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2552" w:type="dxa"/>
            <w:vMerge w:val="continue"/>
            <w:vAlign w:val="center"/>
          </w:tcPr>
          <w:p>
            <w:pPr>
              <w:spacing w:line="276" w:lineRule="auto"/>
              <w:rPr>
                <w:rFonts w:ascii="Times New Roman" w:hAnsi="Times New Roman" w:eastAsia="宋体" w:cs="Times New Roman"/>
                <w:b/>
                <w:bCs/>
                <w:kern w:val="0"/>
                <w:sz w:val="21"/>
                <w:szCs w:val="21"/>
              </w:rPr>
            </w:pPr>
          </w:p>
        </w:tc>
        <w:tc>
          <w:tcPr>
            <w:tcW w:w="3367" w:type="dxa"/>
            <w:vAlign w:val="center"/>
          </w:tcPr>
          <w:p>
            <w:pPr>
              <w:pStyle w:val="11"/>
              <w:adjustRightInd w:val="0"/>
              <w:snapToGrid w:val="0"/>
              <w:spacing w:line="276" w:lineRule="auto"/>
              <w:jc w:val="left"/>
              <w:rPr>
                <w:rFonts w:ascii="Times New Roman" w:hAnsi="Times New Roman" w:eastAsia="宋体" w:cs="Times New Roman"/>
                <w:kern w:val="0"/>
                <w:sz w:val="21"/>
                <w:szCs w:val="21"/>
                <w:lang w:eastAsia="zh-CN"/>
              </w:rPr>
            </w:pPr>
            <w:r>
              <w:rPr>
                <w:rFonts w:ascii="Times New Roman" w:hAnsi="Times New Roman" w:eastAsia="宋体" w:cs="Times New Roman"/>
                <w:kern w:val="0"/>
                <w:sz w:val="21"/>
                <w:szCs w:val="21"/>
                <w:lang w:eastAsia="zh-CN"/>
              </w:rPr>
              <w:t>进样泵</w:t>
            </w:r>
            <w:r>
              <w:rPr>
                <w:rFonts w:hint="eastAsia" w:ascii="Times New Roman" w:hAnsi="Times New Roman" w:eastAsia="宋体" w:cs="Times New Roman"/>
                <w:kern w:val="0"/>
                <w:sz w:val="21"/>
                <w:szCs w:val="21"/>
                <w:lang w:eastAsia="zh-CN"/>
              </w:rPr>
              <w:t>（同时满足正相系统）</w:t>
            </w:r>
          </w:p>
        </w:tc>
        <w:tc>
          <w:tcPr>
            <w:tcW w:w="4043" w:type="dxa"/>
            <w:vAlign w:val="center"/>
          </w:tcPr>
          <w:p>
            <w:pPr>
              <w:spacing w:line="276" w:lineRule="auto"/>
              <w:jc w:val="left"/>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同梯度泵</w:t>
            </w:r>
            <w:r>
              <w:rPr>
                <w:rFonts w:hint="eastAsia" w:ascii="Times New Roman" w:hAnsi="Times New Roman" w:eastAsia="宋体" w:cs="Times New Roman"/>
                <w:bCs/>
                <w:kern w:val="0"/>
                <w:sz w:val="21"/>
                <w:szCs w:val="21"/>
              </w:rPr>
              <w:t>，</w:t>
            </w:r>
            <w:r>
              <w:rPr>
                <w:rFonts w:ascii="Times New Roman" w:hAnsi="Times New Roman" w:eastAsia="宋体" w:cs="Times New Roman"/>
                <w:bCs/>
                <w:kern w:val="0"/>
                <w:sz w:val="21"/>
                <w:szCs w:val="21"/>
              </w:rPr>
              <w:t>可满足自动进样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atLeast"/>
        </w:trPr>
        <w:tc>
          <w:tcPr>
            <w:tcW w:w="2552" w:type="dxa"/>
            <w:vMerge w:val="restart"/>
            <w:vAlign w:val="center"/>
          </w:tcPr>
          <w:p>
            <w:pPr>
              <w:spacing w:line="276" w:lineRule="auto"/>
              <w:jc w:val="center"/>
              <w:rPr>
                <w:rFonts w:ascii="Times New Roman" w:hAnsi="Times New Roman" w:eastAsia="宋体" w:cs="Times New Roman"/>
                <w:kern w:val="0"/>
                <w:sz w:val="21"/>
                <w:szCs w:val="21"/>
              </w:rPr>
            </w:pPr>
            <w:r>
              <w:rPr>
                <w:rFonts w:ascii="Times New Roman" w:hAnsi="宋体" w:eastAsia="宋体" w:cs="Times New Roman"/>
                <w:b/>
                <w:kern w:val="0"/>
                <w:sz w:val="21"/>
                <w:szCs w:val="21"/>
              </w:rPr>
              <w:t>二元梯度泵</w:t>
            </w:r>
          </w:p>
        </w:tc>
        <w:tc>
          <w:tcPr>
            <w:tcW w:w="3367" w:type="dxa"/>
            <w:vAlign w:val="center"/>
          </w:tcPr>
          <w:p>
            <w:pPr>
              <w:pStyle w:val="11"/>
              <w:adjustRightInd w:val="0"/>
              <w:snapToGrid w:val="0"/>
              <w:spacing w:line="276" w:lineRule="auto"/>
              <w:jc w:val="both"/>
              <w:rPr>
                <w:rFonts w:ascii="Times New Roman" w:hAnsi="宋体" w:eastAsia="宋体" w:cs="Times New Roman"/>
                <w:kern w:val="0"/>
                <w:sz w:val="21"/>
                <w:szCs w:val="21"/>
                <w:lang w:eastAsia="zh-CN"/>
              </w:rPr>
            </w:pPr>
            <w:r>
              <w:rPr>
                <w:rFonts w:hint="eastAsia" w:ascii="Times New Roman" w:hAnsi="宋体" w:eastAsia="宋体" w:cs="Times New Roman"/>
                <w:kern w:val="0"/>
                <w:sz w:val="21"/>
                <w:szCs w:val="21"/>
                <w:lang w:eastAsia="zh-CN"/>
              </w:rPr>
              <w:t>二元混合</w:t>
            </w:r>
            <w:r>
              <w:rPr>
                <w:rFonts w:hint="eastAsia" w:ascii="Times New Roman" w:hAnsi="Times New Roman" w:eastAsia="宋体" w:cs="Times New Roman"/>
                <w:kern w:val="0"/>
                <w:sz w:val="21"/>
                <w:szCs w:val="21"/>
                <w:lang w:eastAsia="zh-CN"/>
              </w:rPr>
              <w:t>（同时满足正相系统）</w:t>
            </w:r>
          </w:p>
        </w:tc>
        <w:tc>
          <w:tcPr>
            <w:tcW w:w="4043" w:type="dxa"/>
          </w:tcPr>
          <w:p>
            <w:pPr>
              <w:spacing w:line="276" w:lineRule="auto"/>
              <w:rPr>
                <w:rFonts w:ascii="Times New Roman" w:hAnsi="Times New Roman" w:eastAsia="宋体" w:cs="Times New Roman"/>
                <w:kern w:val="0"/>
                <w:sz w:val="21"/>
                <w:szCs w:val="21"/>
              </w:rPr>
            </w:pPr>
            <w:r>
              <w:rPr>
                <w:rFonts w:hint="eastAsia" w:ascii="Arial" w:hAnsi="Arial" w:eastAsia="宋体" w:cs="Arial"/>
                <w:kern w:val="0"/>
                <w:sz w:val="21"/>
                <w:szCs w:val="21"/>
              </w:rPr>
              <w:t>高压双泵梯度混合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2552" w:type="dxa"/>
            <w:vMerge w:val="continue"/>
          </w:tcPr>
          <w:p>
            <w:pPr>
              <w:spacing w:line="276" w:lineRule="auto"/>
              <w:rPr>
                <w:rFonts w:ascii="Times New Roman" w:hAnsi="Times New Roman" w:eastAsia="宋体" w:cs="Times New Roman"/>
                <w:kern w:val="0"/>
                <w:sz w:val="21"/>
                <w:szCs w:val="21"/>
              </w:rPr>
            </w:pPr>
          </w:p>
        </w:tc>
        <w:tc>
          <w:tcPr>
            <w:tcW w:w="3367" w:type="dxa"/>
            <w:vAlign w:val="center"/>
          </w:tcPr>
          <w:p>
            <w:pPr>
              <w:pStyle w:val="11"/>
              <w:adjustRightInd w:val="0"/>
              <w:snapToGrid w:val="0"/>
              <w:spacing w:line="276" w:lineRule="auto"/>
              <w:jc w:val="both"/>
              <w:rPr>
                <w:rFonts w:ascii="Times New Roman" w:hAnsi="宋体" w:eastAsia="宋体" w:cs="Times New Roman"/>
                <w:kern w:val="0"/>
                <w:sz w:val="21"/>
                <w:szCs w:val="21"/>
                <w:lang w:eastAsia="zh-CN"/>
              </w:rPr>
            </w:pPr>
            <w:r>
              <w:rPr>
                <w:rFonts w:ascii="Times New Roman" w:hAnsi="宋体" w:eastAsia="宋体" w:cs="Times New Roman"/>
                <w:kern w:val="0"/>
                <w:sz w:val="21"/>
                <w:szCs w:val="21"/>
              </w:rPr>
              <w:t>流速范围</w:t>
            </w:r>
          </w:p>
        </w:tc>
        <w:tc>
          <w:tcPr>
            <w:tcW w:w="4043" w:type="dxa"/>
          </w:tcPr>
          <w:p>
            <w:pPr>
              <w:spacing w:line="276" w:lineRule="auto"/>
              <w:rPr>
                <w:rFonts w:ascii="Calibri" w:hAnsi="Calibri" w:eastAsia="宋体" w:cs="Times New Roman"/>
                <w:kern w:val="0"/>
                <w:sz w:val="21"/>
                <w:szCs w:val="21"/>
              </w:rPr>
            </w:pPr>
            <w:r>
              <w:rPr>
                <w:rFonts w:hint="eastAsia" w:ascii="Calibri" w:hAnsi="Calibri" w:eastAsia="宋体" w:cs="Times New Roman"/>
                <w:kern w:val="0"/>
                <w:sz w:val="21"/>
                <w:szCs w:val="21"/>
              </w:rPr>
              <w:t>不</w:t>
            </w:r>
            <w:r>
              <w:rPr>
                <w:rFonts w:ascii="Calibri" w:hAnsi="Calibri" w:eastAsia="宋体" w:cs="Times New Roman"/>
                <w:kern w:val="0"/>
                <w:sz w:val="21"/>
                <w:szCs w:val="21"/>
              </w:rPr>
              <w:t>小</w:t>
            </w:r>
            <w:r>
              <w:rPr>
                <w:rFonts w:hint="eastAsia" w:ascii="Calibri" w:hAnsi="Calibri" w:eastAsia="宋体" w:cs="Times New Roman"/>
                <w:kern w:val="0"/>
                <w:sz w:val="21"/>
                <w:szCs w:val="21"/>
              </w:rPr>
              <w:t>100</w:t>
            </w:r>
            <w:r>
              <w:rPr>
                <w:rFonts w:ascii="Calibri" w:hAnsi="Calibri" w:eastAsia="宋体" w:cs="Times New Roman"/>
                <w:kern w:val="0"/>
                <w:sz w:val="21"/>
                <w:szCs w:val="21"/>
              </w:rPr>
              <w:t xml:space="preserve"> mL/min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52" w:type="dxa"/>
            <w:vMerge w:val="continue"/>
          </w:tcPr>
          <w:p>
            <w:pPr>
              <w:spacing w:line="276" w:lineRule="auto"/>
              <w:rPr>
                <w:rFonts w:ascii="Times New Roman" w:hAnsi="Times New Roman" w:eastAsia="宋体" w:cs="Times New Roman"/>
                <w:kern w:val="0"/>
                <w:sz w:val="21"/>
                <w:szCs w:val="21"/>
              </w:rPr>
            </w:pPr>
          </w:p>
        </w:tc>
        <w:tc>
          <w:tcPr>
            <w:tcW w:w="3367" w:type="dxa"/>
            <w:vAlign w:val="center"/>
          </w:tcPr>
          <w:p>
            <w:pPr>
              <w:pStyle w:val="11"/>
              <w:adjustRightInd w:val="0"/>
              <w:snapToGrid w:val="0"/>
              <w:spacing w:line="276" w:lineRule="auto"/>
              <w:jc w:val="both"/>
              <w:rPr>
                <w:rFonts w:ascii="Times New Roman" w:hAnsi="宋体" w:eastAsia="宋体" w:cs="Times New Roman"/>
                <w:kern w:val="0"/>
                <w:sz w:val="21"/>
                <w:szCs w:val="21"/>
                <w:lang w:eastAsia="zh-CN"/>
              </w:rPr>
            </w:pPr>
            <w:r>
              <w:rPr>
                <w:rFonts w:ascii="Times New Roman" w:hAnsi="宋体" w:eastAsia="宋体" w:cs="Times New Roman"/>
                <w:kern w:val="0"/>
                <w:sz w:val="21"/>
                <w:szCs w:val="21"/>
                <w:lang w:eastAsia="zh-CN"/>
              </w:rPr>
              <w:t>流量准确度</w:t>
            </w:r>
          </w:p>
        </w:tc>
        <w:tc>
          <w:tcPr>
            <w:tcW w:w="4043" w:type="dxa"/>
          </w:tcPr>
          <w:p>
            <w:pPr>
              <w:spacing w:line="276" w:lineRule="auto"/>
              <w:rPr>
                <w:rFonts w:ascii="Times New Roman" w:hAnsi="Times New Roman" w:eastAsia="宋体" w:cs="Times New Roman"/>
                <w:kern w:val="0"/>
                <w:sz w:val="21"/>
                <w:szCs w:val="21"/>
              </w:rPr>
            </w:pPr>
            <w:r>
              <w:rPr>
                <w:rFonts w:ascii="Calibri" w:hAnsi="Calibri" w:eastAsia="宋体" w:cs="Times New Roman"/>
                <w:kern w:val="0"/>
                <w:sz w:val="21"/>
                <w:szCs w:val="21"/>
              </w:rPr>
              <w:t>±1 %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2552" w:type="dxa"/>
            <w:vMerge w:val="continue"/>
          </w:tcPr>
          <w:p>
            <w:pPr>
              <w:spacing w:line="276" w:lineRule="auto"/>
              <w:rPr>
                <w:rFonts w:ascii="Times New Roman" w:hAnsi="Times New Roman" w:eastAsia="宋体" w:cs="Times New Roman"/>
                <w:kern w:val="0"/>
                <w:sz w:val="21"/>
                <w:szCs w:val="21"/>
              </w:rPr>
            </w:pPr>
          </w:p>
        </w:tc>
        <w:tc>
          <w:tcPr>
            <w:tcW w:w="3367" w:type="dxa"/>
            <w:vAlign w:val="center"/>
          </w:tcPr>
          <w:p>
            <w:pPr>
              <w:pStyle w:val="11"/>
              <w:adjustRightInd w:val="0"/>
              <w:snapToGrid w:val="0"/>
              <w:spacing w:line="276" w:lineRule="auto"/>
              <w:jc w:val="both"/>
              <w:rPr>
                <w:rFonts w:ascii="Times New Roman" w:hAnsi="宋体" w:eastAsia="宋体" w:cs="Times New Roman"/>
                <w:kern w:val="0"/>
                <w:sz w:val="21"/>
                <w:szCs w:val="21"/>
                <w:lang w:eastAsia="zh-CN"/>
              </w:rPr>
            </w:pPr>
            <w:r>
              <w:rPr>
                <w:rFonts w:hint="eastAsia" w:ascii="Times New Roman" w:hAnsi="宋体" w:eastAsia="宋体" w:cs="Times New Roman"/>
                <w:kern w:val="0"/>
                <w:sz w:val="21"/>
                <w:szCs w:val="21"/>
                <w:lang w:eastAsia="zh-CN"/>
              </w:rPr>
              <w:t>梯度</w:t>
            </w:r>
            <w:r>
              <w:rPr>
                <w:rFonts w:ascii="Times New Roman" w:hAnsi="宋体" w:eastAsia="宋体" w:cs="Times New Roman"/>
                <w:kern w:val="0"/>
                <w:sz w:val="21"/>
                <w:szCs w:val="21"/>
                <w:lang w:eastAsia="zh-CN"/>
              </w:rPr>
              <w:t>精密</w:t>
            </w:r>
            <w:r>
              <w:rPr>
                <w:rFonts w:ascii="Times New Roman" w:hAnsi="宋体" w:eastAsia="宋体" w:cs="Times New Roman"/>
                <w:kern w:val="0"/>
                <w:sz w:val="21"/>
                <w:szCs w:val="21"/>
              </w:rPr>
              <w:t>度</w:t>
            </w:r>
          </w:p>
        </w:tc>
        <w:tc>
          <w:tcPr>
            <w:tcW w:w="4043" w:type="dxa"/>
          </w:tcPr>
          <w:p>
            <w:pPr>
              <w:spacing w:line="276" w:lineRule="auto"/>
              <w:rPr>
                <w:rFonts w:ascii="Times New Roman" w:hAnsi="Times New Roman" w:eastAsia="宋体" w:cs="Times New Roman"/>
                <w:kern w:val="0"/>
                <w:sz w:val="21"/>
                <w:szCs w:val="21"/>
              </w:rPr>
            </w:pPr>
            <w:r>
              <w:rPr>
                <w:rFonts w:ascii="Calibri" w:hAnsi="Calibri" w:eastAsia="宋体" w:cs="Times New Roman"/>
                <w:kern w:val="0"/>
                <w:sz w:val="21"/>
                <w:szCs w:val="21"/>
              </w:rPr>
              <w:t>±</w:t>
            </w:r>
            <w:r>
              <w:rPr>
                <w:rFonts w:hint="eastAsia" w:ascii="Calibri" w:hAnsi="Calibri" w:eastAsia="宋体" w:cs="Times New Roman"/>
                <w:kern w:val="0"/>
                <w:sz w:val="21"/>
                <w:szCs w:val="21"/>
              </w:rPr>
              <w:t>1</w:t>
            </w:r>
            <w:r>
              <w:rPr>
                <w:rFonts w:ascii="Calibri" w:hAnsi="Calibri" w:eastAsia="宋体" w:cs="Times New Roman"/>
                <w:kern w:val="0"/>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2552" w:type="dxa"/>
            <w:vMerge w:val="continue"/>
          </w:tcPr>
          <w:p>
            <w:pPr>
              <w:spacing w:line="276" w:lineRule="auto"/>
              <w:rPr>
                <w:rFonts w:ascii="Times New Roman" w:hAnsi="Times New Roman" w:eastAsia="宋体" w:cs="Times New Roman"/>
                <w:kern w:val="0"/>
                <w:sz w:val="21"/>
                <w:szCs w:val="21"/>
              </w:rPr>
            </w:pPr>
          </w:p>
        </w:tc>
        <w:tc>
          <w:tcPr>
            <w:tcW w:w="3367" w:type="dxa"/>
            <w:vAlign w:val="center"/>
          </w:tcPr>
          <w:p>
            <w:pPr>
              <w:pStyle w:val="11"/>
              <w:adjustRightInd w:val="0"/>
              <w:snapToGrid w:val="0"/>
              <w:spacing w:line="276" w:lineRule="auto"/>
              <w:jc w:val="both"/>
              <w:rPr>
                <w:rFonts w:ascii="Times New Roman" w:hAnsi="宋体" w:eastAsia="宋体" w:cs="Times New Roman"/>
                <w:kern w:val="0"/>
                <w:sz w:val="21"/>
                <w:szCs w:val="21"/>
                <w:lang w:eastAsia="zh-CN"/>
              </w:rPr>
            </w:pPr>
            <w:r>
              <w:rPr>
                <w:rFonts w:ascii="Times New Roman" w:hAnsi="宋体" w:eastAsia="宋体" w:cs="Times New Roman"/>
                <w:kern w:val="0"/>
                <w:sz w:val="21"/>
                <w:szCs w:val="21"/>
                <w:lang w:eastAsia="zh-CN"/>
              </w:rPr>
              <w:t>操作压力</w:t>
            </w:r>
          </w:p>
        </w:tc>
        <w:tc>
          <w:tcPr>
            <w:tcW w:w="4043" w:type="dxa"/>
          </w:tcPr>
          <w:p>
            <w:pPr>
              <w:spacing w:line="276" w:lineRule="auto"/>
              <w:rPr>
                <w:rFonts w:ascii="Times New Roman" w:hAnsi="Times New Roman" w:eastAsia="宋体" w:cs="Times New Roman"/>
                <w:kern w:val="0"/>
                <w:sz w:val="21"/>
                <w:szCs w:val="21"/>
              </w:rPr>
            </w:pPr>
            <w:r>
              <w:rPr>
                <w:rFonts w:hint="eastAsia" w:ascii="Arial" w:hAnsi="Arial" w:eastAsia="宋体" w:cs="Arial"/>
                <w:kern w:val="0"/>
                <w:sz w:val="21"/>
                <w:szCs w:val="21"/>
              </w:rPr>
              <w:t>不低于150bar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2552" w:type="dxa"/>
          </w:tcPr>
          <w:p>
            <w:pPr>
              <w:spacing w:line="276" w:lineRule="auto"/>
              <w:jc w:val="center"/>
              <w:rPr>
                <w:rFonts w:ascii="Times New Roman" w:hAnsi="Times New Roman" w:eastAsia="宋体" w:cs="Times New Roman"/>
                <w:kern w:val="0"/>
                <w:sz w:val="21"/>
                <w:szCs w:val="21"/>
              </w:rPr>
            </w:pPr>
            <w:r>
              <w:rPr>
                <w:rFonts w:ascii="Times New Roman" w:hAnsi="宋体" w:eastAsia="宋体" w:cs="Times New Roman"/>
                <w:b/>
                <w:kern w:val="0"/>
                <w:sz w:val="21"/>
                <w:szCs w:val="21"/>
              </w:rPr>
              <w:t>混合器</w:t>
            </w:r>
          </w:p>
        </w:tc>
        <w:tc>
          <w:tcPr>
            <w:tcW w:w="3367" w:type="dxa"/>
            <w:vAlign w:val="center"/>
          </w:tcPr>
          <w:p>
            <w:pPr>
              <w:pStyle w:val="11"/>
              <w:adjustRightInd w:val="0"/>
              <w:snapToGrid w:val="0"/>
              <w:spacing w:line="276" w:lineRule="auto"/>
              <w:jc w:val="both"/>
              <w:rPr>
                <w:rFonts w:ascii="Times New Roman" w:hAnsi="宋体" w:eastAsia="宋体" w:cs="Times New Roman"/>
                <w:kern w:val="0"/>
                <w:sz w:val="21"/>
                <w:szCs w:val="21"/>
                <w:lang w:eastAsia="zh-CN"/>
              </w:rPr>
            </w:pPr>
            <w:r>
              <w:rPr>
                <w:rFonts w:ascii="Times New Roman" w:hAnsi="宋体" w:eastAsia="宋体" w:cs="Times New Roman"/>
                <w:kern w:val="0"/>
                <w:sz w:val="21"/>
                <w:szCs w:val="21"/>
                <w:lang w:eastAsia="zh-CN"/>
              </w:rPr>
              <w:t>高压混合器</w:t>
            </w:r>
          </w:p>
        </w:tc>
        <w:tc>
          <w:tcPr>
            <w:tcW w:w="4043" w:type="dxa"/>
          </w:tcPr>
          <w:p>
            <w:pPr>
              <w:spacing w:line="276" w:lineRule="auto"/>
              <w:rPr>
                <w:rFonts w:ascii="Arial" w:hAnsi="Arial" w:eastAsia="宋体" w:cs="Arial"/>
                <w:kern w:val="0"/>
                <w:sz w:val="21"/>
                <w:szCs w:val="21"/>
              </w:rPr>
            </w:pPr>
            <w:r>
              <w:rPr>
                <w:rFonts w:hint="eastAsia" w:ascii="Arial" w:hAnsi="Arial" w:eastAsia="宋体" w:cs="Arial"/>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2552" w:type="dxa"/>
          </w:tcPr>
          <w:p>
            <w:pPr>
              <w:spacing w:line="276" w:lineRule="auto"/>
              <w:jc w:val="center"/>
              <w:rPr>
                <w:rFonts w:ascii="Times New Roman" w:hAnsi="宋体" w:eastAsia="宋体" w:cs="Times New Roman"/>
                <w:b/>
                <w:kern w:val="0"/>
                <w:sz w:val="21"/>
                <w:szCs w:val="21"/>
              </w:rPr>
            </w:pPr>
            <w:r>
              <w:rPr>
                <w:rFonts w:hint="eastAsia" w:ascii="Times New Roman" w:hAnsi="宋体" w:eastAsia="宋体" w:cs="Times New Roman"/>
                <w:b/>
                <w:kern w:val="0"/>
                <w:sz w:val="21"/>
                <w:szCs w:val="21"/>
              </w:rPr>
              <w:t>在线过滤器</w:t>
            </w:r>
          </w:p>
        </w:tc>
        <w:tc>
          <w:tcPr>
            <w:tcW w:w="3367" w:type="dxa"/>
            <w:vAlign w:val="center"/>
          </w:tcPr>
          <w:p>
            <w:pPr>
              <w:pStyle w:val="11"/>
              <w:adjustRightInd w:val="0"/>
              <w:snapToGrid w:val="0"/>
              <w:spacing w:line="276" w:lineRule="auto"/>
              <w:jc w:val="both"/>
              <w:rPr>
                <w:rFonts w:ascii="Times New Roman" w:hAnsi="宋体" w:eastAsia="宋体" w:cs="Times New Roman"/>
                <w:kern w:val="0"/>
                <w:sz w:val="21"/>
                <w:szCs w:val="21"/>
                <w:lang w:eastAsia="zh-CN"/>
              </w:rPr>
            </w:pPr>
            <w:r>
              <w:rPr>
                <w:rFonts w:ascii="Times New Roman" w:hAnsi="宋体" w:eastAsia="宋体" w:cs="Times New Roman"/>
                <w:kern w:val="0"/>
                <w:sz w:val="21"/>
                <w:szCs w:val="21"/>
                <w:lang w:eastAsia="zh-CN"/>
              </w:rPr>
              <w:t>满足在线过滤要求</w:t>
            </w:r>
          </w:p>
        </w:tc>
        <w:tc>
          <w:tcPr>
            <w:tcW w:w="4043" w:type="dxa"/>
          </w:tcPr>
          <w:p>
            <w:pPr>
              <w:spacing w:line="276" w:lineRule="auto"/>
              <w:rPr>
                <w:rFonts w:ascii="Times New Roman" w:hAnsi="宋体" w:eastAsia="宋体" w:cs="Times New Roman"/>
                <w:bCs/>
                <w:kern w:val="0"/>
                <w:sz w:val="21"/>
                <w:szCs w:val="21"/>
              </w:rPr>
            </w:pPr>
            <w:r>
              <w:rPr>
                <w:rFonts w:hint="eastAsia" w:ascii="Times New Roman" w:hAnsi="宋体" w:eastAsia="宋体" w:cs="Times New Roman"/>
                <w:bCs/>
                <w:kern w:val="0"/>
                <w:sz w:val="21"/>
                <w:szCs w:val="21"/>
              </w:rPr>
              <w:t>与液相匹配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2552" w:type="dxa"/>
          </w:tcPr>
          <w:p>
            <w:pPr>
              <w:spacing w:line="276" w:lineRule="auto"/>
              <w:jc w:val="center"/>
              <w:rPr>
                <w:rFonts w:ascii="Times New Roman" w:hAnsi="Times New Roman" w:eastAsia="宋体" w:cs="Times New Roman"/>
                <w:kern w:val="0"/>
                <w:sz w:val="21"/>
                <w:szCs w:val="21"/>
              </w:rPr>
            </w:pPr>
            <w:r>
              <w:rPr>
                <w:rFonts w:hint="eastAsia" w:ascii="Times New Roman" w:hAnsi="Times New Roman" w:eastAsia="宋体" w:cs="Times New Roman"/>
                <w:b/>
                <w:kern w:val="0"/>
                <w:sz w:val="21"/>
                <w:szCs w:val="21"/>
              </w:rPr>
              <w:t>自动馏分收集</w:t>
            </w:r>
          </w:p>
        </w:tc>
        <w:tc>
          <w:tcPr>
            <w:tcW w:w="3367" w:type="dxa"/>
            <w:vAlign w:val="center"/>
          </w:tcPr>
          <w:p>
            <w:pPr>
              <w:pStyle w:val="11"/>
              <w:adjustRightInd w:val="0"/>
              <w:snapToGrid w:val="0"/>
              <w:spacing w:line="276" w:lineRule="auto"/>
              <w:jc w:val="both"/>
              <w:rPr>
                <w:rFonts w:ascii="Times New Roman" w:hAnsi="宋体" w:eastAsia="宋体" w:cs="Times New Roman"/>
                <w:kern w:val="0"/>
                <w:sz w:val="21"/>
                <w:szCs w:val="21"/>
                <w:lang w:eastAsia="zh-CN"/>
              </w:rPr>
            </w:pPr>
            <w:r>
              <w:rPr>
                <w:rFonts w:ascii="Times New Roman" w:hAnsi="宋体" w:eastAsia="宋体" w:cs="Times New Roman"/>
                <w:kern w:val="0"/>
                <w:sz w:val="21"/>
                <w:szCs w:val="21"/>
                <w:lang w:eastAsia="zh-CN"/>
              </w:rPr>
              <w:t>收集通道</w:t>
            </w:r>
          </w:p>
        </w:tc>
        <w:tc>
          <w:tcPr>
            <w:tcW w:w="4043" w:type="dxa"/>
          </w:tcPr>
          <w:p>
            <w:pPr>
              <w:spacing w:line="276" w:lineRule="auto"/>
              <w:rPr>
                <w:rFonts w:ascii="Arial" w:hAnsi="Arial" w:eastAsia="宋体" w:cs="Arial"/>
                <w:kern w:val="0"/>
                <w:sz w:val="21"/>
                <w:szCs w:val="21"/>
              </w:rPr>
            </w:pPr>
            <w:r>
              <w:rPr>
                <w:rFonts w:hint="eastAsia" w:ascii="Arial" w:hAnsi="Arial" w:eastAsia="宋体" w:cs="Arial"/>
                <w:kern w:val="0"/>
                <w:sz w:val="21"/>
                <w:szCs w:val="21"/>
              </w:rPr>
              <w:t>不少于12个，可自动收集5-10cm动态柱的馏分容量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52" w:type="dxa"/>
            <w:vMerge w:val="restart"/>
            <w:vAlign w:val="center"/>
          </w:tcPr>
          <w:p>
            <w:pPr>
              <w:spacing w:line="276" w:lineRule="auto"/>
              <w:jc w:val="center"/>
              <w:rPr>
                <w:rFonts w:ascii="Times New Roman" w:hAnsi="宋体" w:eastAsia="宋体" w:cs="Times New Roman"/>
                <w:b/>
                <w:kern w:val="0"/>
                <w:sz w:val="21"/>
                <w:szCs w:val="21"/>
              </w:rPr>
            </w:pPr>
            <w:r>
              <w:rPr>
                <w:rFonts w:hint="eastAsia" w:ascii="Times New Roman" w:hAnsi="宋体" w:eastAsia="宋体" w:cs="Times New Roman"/>
                <w:b/>
                <w:kern w:val="0"/>
                <w:sz w:val="21"/>
                <w:szCs w:val="21"/>
              </w:rPr>
              <w:t>可变波长</w:t>
            </w:r>
            <w:r>
              <w:rPr>
                <w:rFonts w:ascii="Times New Roman" w:hAnsi="宋体" w:eastAsia="宋体" w:cs="Times New Roman"/>
                <w:b/>
                <w:kern w:val="0"/>
                <w:sz w:val="21"/>
                <w:szCs w:val="21"/>
              </w:rPr>
              <w:t>紫外</w:t>
            </w:r>
          </w:p>
          <w:p>
            <w:pPr>
              <w:spacing w:line="276" w:lineRule="auto"/>
              <w:jc w:val="center"/>
              <w:rPr>
                <w:rFonts w:ascii="Times New Roman" w:hAnsi="Times New Roman" w:eastAsia="宋体" w:cs="Times New Roman"/>
                <w:kern w:val="0"/>
                <w:sz w:val="21"/>
                <w:szCs w:val="21"/>
              </w:rPr>
            </w:pPr>
            <w:r>
              <w:rPr>
                <w:rFonts w:ascii="Times New Roman" w:hAnsi="宋体" w:eastAsia="宋体" w:cs="Times New Roman"/>
                <w:b/>
                <w:kern w:val="0"/>
                <w:sz w:val="21"/>
                <w:szCs w:val="21"/>
              </w:rPr>
              <w:t>检测器</w:t>
            </w:r>
          </w:p>
        </w:tc>
        <w:tc>
          <w:tcPr>
            <w:tcW w:w="3367" w:type="dxa"/>
          </w:tcPr>
          <w:p>
            <w:pPr>
              <w:pStyle w:val="11"/>
              <w:adjustRightInd w:val="0"/>
              <w:snapToGrid w:val="0"/>
              <w:spacing w:line="276" w:lineRule="auto"/>
              <w:jc w:val="both"/>
              <w:rPr>
                <w:rFonts w:ascii="Times New Roman" w:hAnsi="宋体" w:eastAsia="宋体" w:cs="Times New Roman"/>
                <w:kern w:val="0"/>
                <w:sz w:val="21"/>
                <w:szCs w:val="21"/>
                <w:lang w:eastAsia="zh-CN"/>
              </w:rPr>
            </w:pPr>
            <w:r>
              <w:rPr>
                <w:rFonts w:ascii="Times New Roman" w:hAnsi="宋体" w:eastAsia="宋体" w:cs="Times New Roman"/>
                <w:kern w:val="0"/>
                <w:sz w:val="21"/>
                <w:szCs w:val="21"/>
              </w:rPr>
              <w:t>波长范围</w:t>
            </w:r>
          </w:p>
        </w:tc>
        <w:tc>
          <w:tcPr>
            <w:tcW w:w="4043" w:type="dxa"/>
          </w:tcPr>
          <w:p>
            <w:pPr>
              <w:spacing w:line="276" w:lineRule="auto"/>
              <w:rPr>
                <w:rFonts w:ascii="Times New Roman" w:hAnsi="Times New Roman" w:eastAsia="宋体" w:cs="Times New Roman"/>
                <w:kern w:val="0"/>
                <w:sz w:val="21"/>
                <w:szCs w:val="21"/>
              </w:rPr>
            </w:pPr>
            <w:r>
              <w:rPr>
                <w:rFonts w:ascii="Arial" w:hAnsi="Arial" w:eastAsia="宋体" w:cs="Arial"/>
                <w:kern w:val="0"/>
                <w:sz w:val="21"/>
                <w:szCs w:val="21"/>
              </w:rPr>
              <w:t>19</w:t>
            </w:r>
            <w:r>
              <w:rPr>
                <w:rFonts w:hint="eastAsia" w:ascii="Arial" w:hAnsi="Arial" w:eastAsia="宋体" w:cs="Arial"/>
                <w:kern w:val="0"/>
                <w:sz w:val="21"/>
                <w:szCs w:val="21"/>
              </w:rPr>
              <w:t>5</w:t>
            </w:r>
            <w:r>
              <w:rPr>
                <w:rFonts w:ascii="Arial" w:hAnsi="Arial" w:eastAsia="宋体" w:cs="Arial"/>
                <w:kern w:val="0"/>
                <w:sz w:val="21"/>
                <w:szCs w:val="21"/>
              </w:rPr>
              <w:t>~</w:t>
            </w:r>
            <w:r>
              <w:rPr>
                <w:rFonts w:hint="eastAsia" w:ascii="Arial" w:hAnsi="Arial" w:eastAsia="宋体" w:cs="Arial"/>
                <w:kern w:val="0"/>
                <w:sz w:val="21"/>
                <w:szCs w:val="21"/>
              </w:rPr>
              <w:t>6</w:t>
            </w:r>
            <w:r>
              <w:rPr>
                <w:rFonts w:ascii="Arial" w:hAnsi="Arial" w:eastAsia="宋体" w:cs="Arial"/>
                <w:kern w:val="0"/>
                <w:sz w:val="21"/>
                <w:szCs w:val="21"/>
              </w:rPr>
              <w:t>00nm</w:t>
            </w:r>
            <w:r>
              <w:rPr>
                <w:rFonts w:hint="eastAsia" w:ascii="Arial" w:hAnsi="Arial" w:eastAsia="宋体" w:cs="Arial"/>
                <w:kern w:val="0"/>
                <w:sz w:val="21"/>
                <w:szCs w:val="21"/>
              </w:rPr>
              <w:t>（双波长）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 w:hRule="atLeast"/>
        </w:trPr>
        <w:tc>
          <w:tcPr>
            <w:tcW w:w="2552" w:type="dxa"/>
            <w:vMerge w:val="continue"/>
          </w:tcPr>
          <w:p>
            <w:pPr>
              <w:spacing w:line="276" w:lineRule="auto"/>
              <w:jc w:val="center"/>
              <w:rPr>
                <w:rFonts w:ascii="Times New Roman" w:hAnsi="Times New Roman" w:eastAsia="宋体" w:cs="Times New Roman"/>
                <w:kern w:val="0"/>
                <w:sz w:val="21"/>
                <w:szCs w:val="21"/>
              </w:rPr>
            </w:pPr>
          </w:p>
        </w:tc>
        <w:tc>
          <w:tcPr>
            <w:tcW w:w="3367" w:type="dxa"/>
          </w:tcPr>
          <w:p>
            <w:pPr>
              <w:pStyle w:val="11"/>
              <w:adjustRightInd w:val="0"/>
              <w:snapToGrid w:val="0"/>
              <w:spacing w:line="276" w:lineRule="auto"/>
              <w:jc w:val="both"/>
              <w:rPr>
                <w:rFonts w:ascii="Times New Roman" w:hAnsi="宋体" w:eastAsia="宋体" w:cs="Times New Roman"/>
                <w:kern w:val="0"/>
                <w:sz w:val="21"/>
                <w:szCs w:val="21"/>
                <w:lang w:eastAsia="zh-CN"/>
              </w:rPr>
            </w:pPr>
            <w:r>
              <w:rPr>
                <w:rFonts w:ascii="Times New Roman" w:hAnsi="宋体" w:eastAsia="宋体" w:cs="Times New Roman"/>
                <w:kern w:val="0"/>
                <w:sz w:val="21"/>
                <w:szCs w:val="21"/>
                <w:lang w:eastAsia="zh-CN"/>
              </w:rPr>
              <w:t>光源：氘灯</w:t>
            </w:r>
          </w:p>
        </w:tc>
        <w:tc>
          <w:tcPr>
            <w:tcW w:w="4043" w:type="dxa"/>
          </w:tcPr>
          <w:p>
            <w:pPr>
              <w:spacing w:line="276" w:lineRule="auto"/>
              <w:rPr>
                <w:rFonts w:ascii="Times New Roman" w:hAnsi="Times New Roman" w:eastAsia="宋体" w:cs="Times New Roman"/>
                <w:kern w:val="0"/>
                <w:sz w:val="21"/>
                <w:szCs w:val="21"/>
              </w:rPr>
            </w:pPr>
            <w:r>
              <w:rPr>
                <w:rFonts w:ascii="Arial" w:hAnsi="Arial" w:eastAsia="宋体" w:cs="Arial"/>
                <w:kern w:val="0"/>
                <w:sz w:val="21"/>
                <w:szCs w:val="21"/>
              </w:rPr>
              <w:t>氘灯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52" w:type="dxa"/>
            <w:vMerge w:val="continue"/>
          </w:tcPr>
          <w:p>
            <w:pPr>
              <w:spacing w:line="276" w:lineRule="auto"/>
              <w:jc w:val="center"/>
              <w:rPr>
                <w:rFonts w:ascii="Times New Roman" w:hAnsi="Times New Roman" w:eastAsia="宋体" w:cs="Times New Roman"/>
                <w:kern w:val="0"/>
                <w:sz w:val="21"/>
                <w:szCs w:val="21"/>
              </w:rPr>
            </w:pPr>
          </w:p>
        </w:tc>
        <w:tc>
          <w:tcPr>
            <w:tcW w:w="3367" w:type="dxa"/>
          </w:tcPr>
          <w:p>
            <w:pPr>
              <w:pStyle w:val="11"/>
              <w:adjustRightInd w:val="0"/>
              <w:snapToGrid w:val="0"/>
              <w:spacing w:line="276" w:lineRule="auto"/>
              <w:jc w:val="both"/>
              <w:rPr>
                <w:rFonts w:ascii="Times New Roman" w:hAnsi="宋体" w:eastAsia="宋体" w:cs="Times New Roman"/>
                <w:kern w:val="0"/>
                <w:sz w:val="21"/>
                <w:szCs w:val="21"/>
                <w:lang w:eastAsia="zh-CN"/>
              </w:rPr>
            </w:pPr>
            <w:r>
              <w:rPr>
                <w:rFonts w:ascii="Times New Roman" w:hAnsi="宋体" w:eastAsia="宋体" w:cs="Times New Roman"/>
                <w:kern w:val="0"/>
                <w:sz w:val="21"/>
                <w:szCs w:val="21"/>
              </w:rPr>
              <w:t>波长准确度</w:t>
            </w:r>
          </w:p>
        </w:tc>
        <w:tc>
          <w:tcPr>
            <w:tcW w:w="4043" w:type="dxa"/>
          </w:tcPr>
          <w:p>
            <w:pPr>
              <w:spacing w:line="276" w:lineRule="auto"/>
              <w:rPr>
                <w:rFonts w:ascii="Times New Roman" w:hAnsi="Times New Roman" w:eastAsia="宋体" w:cs="Times New Roman"/>
                <w:kern w:val="0"/>
                <w:sz w:val="21"/>
                <w:szCs w:val="21"/>
              </w:rPr>
            </w:pPr>
            <w:r>
              <w:rPr>
                <w:rFonts w:ascii="Arial" w:hAnsi="Arial" w:eastAsia="宋体" w:cs="Arial"/>
                <w:kern w:val="0"/>
                <w:sz w:val="21"/>
                <w:szCs w:val="21"/>
              </w:rPr>
              <w:t>±</w:t>
            </w:r>
            <w:r>
              <w:rPr>
                <w:rFonts w:hint="eastAsia" w:ascii="Arial" w:hAnsi="Arial" w:eastAsia="宋体" w:cs="Arial"/>
                <w:kern w:val="0"/>
                <w:sz w:val="21"/>
                <w:szCs w:val="21"/>
              </w:rPr>
              <w:t>2</w:t>
            </w:r>
            <w:r>
              <w:rPr>
                <w:rFonts w:ascii="Arial" w:hAnsi="Arial" w:eastAsia="宋体" w:cs="Arial"/>
                <w:kern w:val="0"/>
                <w:sz w:val="21"/>
                <w:szCs w:val="21"/>
              </w:rPr>
              <w:t xml:space="preserve"> nm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52" w:type="dxa"/>
            <w:vMerge w:val="continue"/>
          </w:tcPr>
          <w:p>
            <w:pPr>
              <w:spacing w:line="276" w:lineRule="auto"/>
              <w:jc w:val="center"/>
              <w:rPr>
                <w:rFonts w:ascii="Times New Roman" w:hAnsi="Times New Roman" w:eastAsia="宋体" w:cs="Times New Roman"/>
                <w:kern w:val="0"/>
                <w:sz w:val="21"/>
                <w:szCs w:val="21"/>
              </w:rPr>
            </w:pPr>
          </w:p>
        </w:tc>
        <w:tc>
          <w:tcPr>
            <w:tcW w:w="3367" w:type="dxa"/>
          </w:tcPr>
          <w:p>
            <w:pPr>
              <w:pStyle w:val="11"/>
              <w:adjustRightInd w:val="0"/>
              <w:snapToGrid w:val="0"/>
              <w:spacing w:line="276" w:lineRule="auto"/>
              <w:jc w:val="both"/>
              <w:rPr>
                <w:rFonts w:ascii="Times New Roman" w:hAnsi="宋体" w:eastAsia="宋体" w:cs="Times New Roman"/>
                <w:kern w:val="0"/>
                <w:sz w:val="21"/>
                <w:szCs w:val="21"/>
                <w:lang w:eastAsia="zh-CN"/>
              </w:rPr>
            </w:pPr>
            <w:r>
              <w:rPr>
                <w:rFonts w:ascii="Times New Roman" w:hAnsi="宋体" w:eastAsia="宋体" w:cs="Times New Roman"/>
                <w:kern w:val="0"/>
                <w:sz w:val="21"/>
                <w:szCs w:val="21"/>
              </w:rPr>
              <w:t>光谱带宽</w:t>
            </w:r>
          </w:p>
        </w:tc>
        <w:tc>
          <w:tcPr>
            <w:tcW w:w="4043" w:type="dxa"/>
          </w:tcPr>
          <w:p>
            <w:pPr>
              <w:spacing w:line="276" w:lineRule="auto"/>
              <w:rPr>
                <w:rFonts w:ascii="Times New Roman" w:hAnsi="Times New Roman" w:eastAsia="宋体" w:cs="Times New Roman"/>
                <w:kern w:val="0"/>
                <w:sz w:val="21"/>
                <w:szCs w:val="21"/>
              </w:rPr>
            </w:pPr>
            <w:r>
              <w:rPr>
                <w:rFonts w:ascii="Arial" w:hAnsi="Arial" w:eastAsia="宋体" w:cs="Arial"/>
                <w:kern w:val="0"/>
                <w:sz w:val="21"/>
                <w:szCs w:val="21"/>
              </w:rPr>
              <w:t>≤5nm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52" w:type="dxa"/>
            <w:vMerge w:val="continue"/>
          </w:tcPr>
          <w:p>
            <w:pPr>
              <w:spacing w:line="276" w:lineRule="auto"/>
              <w:jc w:val="center"/>
              <w:rPr>
                <w:rFonts w:ascii="Times New Roman" w:hAnsi="Times New Roman" w:eastAsia="宋体" w:cs="Times New Roman"/>
                <w:kern w:val="0"/>
                <w:sz w:val="21"/>
                <w:szCs w:val="21"/>
              </w:rPr>
            </w:pPr>
          </w:p>
        </w:tc>
        <w:tc>
          <w:tcPr>
            <w:tcW w:w="3367" w:type="dxa"/>
          </w:tcPr>
          <w:p>
            <w:pPr>
              <w:pStyle w:val="11"/>
              <w:adjustRightInd w:val="0"/>
              <w:snapToGrid w:val="0"/>
              <w:spacing w:line="276" w:lineRule="auto"/>
              <w:jc w:val="both"/>
              <w:rPr>
                <w:rFonts w:ascii="Times New Roman" w:hAnsi="宋体" w:eastAsia="宋体" w:cs="Times New Roman"/>
                <w:kern w:val="0"/>
                <w:sz w:val="21"/>
                <w:szCs w:val="21"/>
                <w:lang w:eastAsia="zh-CN"/>
              </w:rPr>
            </w:pPr>
            <w:r>
              <w:rPr>
                <w:rFonts w:ascii="Times New Roman" w:hAnsi="宋体" w:eastAsia="宋体" w:cs="Times New Roman"/>
                <w:kern w:val="0"/>
                <w:sz w:val="21"/>
                <w:szCs w:val="21"/>
              </w:rPr>
              <w:t>噪音</w:t>
            </w:r>
          </w:p>
        </w:tc>
        <w:tc>
          <w:tcPr>
            <w:tcW w:w="4043" w:type="dxa"/>
          </w:tcPr>
          <w:p>
            <w:pPr>
              <w:spacing w:line="276" w:lineRule="auto"/>
              <w:rPr>
                <w:rFonts w:ascii="Times New Roman" w:hAnsi="Times New Roman" w:eastAsia="宋体" w:cs="Times New Roman"/>
                <w:kern w:val="0"/>
                <w:sz w:val="21"/>
                <w:szCs w:val="21"/>
              </w:rPr>
            </w:pPr>
            <w:r>
              <w:rPr>
                <w:rFonts w:ascii="Arial" w:hAnsi="Arial" w:eastAsia="宋体" w:cs="Arial"/>
                <w:kern w:val="0"/>
                <w:sz w:val="21"/>
                <w:szCs w:val="21"/>
              </w:rPr>
              <w:t xml:space="preserve">&lt; </w:t>
            </w:r>
            <w:r>
              <w:rPr>
                <w:rFonts w:hint="eastAsia" w:ascii="Arial" w:hAnsi="Arial" w:eastAsia="宋体" w:cs="Arial"/>
                <w:kern w:val="0"/>
                <w:sz w:val="21"/>
                <w:szCs w:val="21"/>
              </w:rPr>
              <w:t>3</w:t>
            </w:r>
            <w:r>
              <w:rPr>
                <w:rFonts w:ascii="Times New Roman" w:hAnsi="Times New Roman" w:eastAsia="宋体" w:cs="Times New Roman"/>
                <w:kern w:val="0"/>
                <w:sz w:val="21"/>
                <w:szCs w:val="21"/>
              </w:rPr>
              <w:t xml:space="preserve"> x 10</w:t>
            </w:r>
            <w:r>
              <w:rPr>
                <w:rFonts w:ascii="Times New Roman" w:hAnsi="Times New Roman" w:eastAsia="宋体" w:cs="Times New Roman"/>
                <w:kern w:val="0"/>
                <w:sz w:val="21"/>
                <w:szCs w:val="21"/>
                <w:vertAlign w:val="superscript"/>
              </w:rPr>
              <w:t>-</w:t>
            </w:r>
            <w:r>
              <w:rPr>
                <w:rFonts w:hint="eastAsia" w:ascii="Times New Roman" w:hAnsi="Times New Roman" w:eastAsia="宋体" w:cs="Times New Roman"/>
                <w:kern w:val="0"/>
                <w:sz w:val="21"/>
                <w:szCs w:val="21"/>
                <w:vertAlign w:val="superscript"/>
              </w:rPr>
              <w:t>5</w:t>
            </w:r>
            <w:r>
              <w:rPr>
                <w:rFonts w:ascii="Arial" w:hAnsi="Arial" w:eastAsia="宋体" w:cs="Arial"/>
                <w:kern w:val="0"/>
                <w:sz w:val="21"/>
                <w:szCs w:val="21"/>
              </w:rPr>
              <w:t>AU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52" w:type="dxa"/>
            <w:vMerge w:val="continue"/>
          </w:tcPr>
          <w:p>
            <w:pPr>
              <w:spacing w:line="276" w:lineRule="auto"/>
              <w:jc w:val="center"/>
              <w:rPr>
                <w:rFonts w:ascii="Times New Roman" w:hAnsi="Times New Roman" w:eastAsia="宋体" w:cs="Times New Roman"/>
                <w:kern w:val="0"/>
                <w:sz w:val="21"/>
                <w:szCs w:val="21"/>
              </w:rPr>
            </w:pPr>
          </w:p>
        </w:tc>
        <w:tc>
          <w:tcPr>
            <w:tcW w:w="3367" w:type="dxa"/>
          </w:tcPr>
          <w:p>
            <w:pPr>
              <w:pStyle w:val="11"/>
              <w:adjustRightInd w:val="0"/>
              <w:snapToGrid w:val="0"/>
              <w:spacing w:line="276" w:lineRule="auto"/>
              <w:jc w:val="both"/>
              <w:rPr>
                <w:rFonts w:ascii="Times New Roman" w:hAnsi="宋体" w:eastAsia="宋体" w:cs="Times New Roman"/>
                <w:kern w:val="0"/>
                <w:sz w:val="21"/>
                <w:szCs w:val="21"/>
                <w:lang w:eastAsia="zh-CN"/>
              </w:rPr>
            </w:pPr>
            <w:r>
              <w:rPr>
                <w:rFonts w:ascii="Times New Roman" w:hAnsi="宋体" w:eastAsia="宋体" w:cs="Times New Roman"/>
                <w:kern w:val="0"/>
                <w:sz w:val="21"/>
                <w:szCs w:val="21"/>
              </w:rPr>
              <w:t>漂移</w:t>
            </w:r>
          </w:p>
        </w:tc>
        <w:tc>
          <w:tcPr>
            <w:tcW w:w="4043" w:type="dxa"/>
          </w:tcPr>
          <w:p>
            <w:pPr>
              <w:spacing w:line="276" w:lineRule="auto"/>
              <w:rPr>
                <w:rFonts w:ascii="Times New Roman" w:hAnsi="Times New Roman" w:eastAsia="宋体" w:cs="Times New Roman"/>
                <w:kern w:val="0"/>
                <w:sz w:val="21"/>
                <w:szCs w:val="21"/>
              </w:rPr>
            </w:pPr>
            <w:r>
              <w:rPr>
                <w:rFonts w:ascii="Times New Roman" w:hAnsi="Times New Roman" w:eastAsia="宋体" w:cs="Times New Roman"/>
                <w:kern w:val="0"/>
                <w:sz w:val="21"/>
                <w:szCs w:val="21"/>
              </w:rPr>
              <w:t>&lt;1 x 10</w:t>
            </w:r>
            <w:r>
              <w:rPr>
                <w:rFonts w:ascii="Times New Roman" w:hAnsi="Times New Roman" w:eastAsia="宋体" w:cs="Times New Roman"/>
                <w:kern w:val="0"/>
                <w:sz w:val="21"/>
                <w:szCs w:val="21"/>
                <w:vertAlign w:val="superscript"/>
              </w:rPr>
              <w:t>-4</w:t>
            </w:r>
            <w:r>
              <w:rPr>
                <w:rFonts w:ascii="Times New Roman" w:hAnsi="Times New Roman" w:eastAsia="宋体" w:cs="Times New Roman"/>
                <w:kern w:val="0"/>
                <w:sz w:val="21"/>
                <w:szCs w:val="21"/>
              </w:rPr>
              <w:t>AU/h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52" w:type="dxa"/>
            <w:vMerge w:val="continue"/>
          </w:tcPr>
          <w:p>
            <w:pPr>
              <w:spacing w:line="276" w:lineRule="auto"/>
              <w:jc w:val="center"/>
              <w:rPr>
                <w:rFonts w:ascii="Times New Roman" w:hAnsi="Times New Roman" w:eastAsia="宋体" w:cs="Times New Roman"/>
                <w:kern w:val="0"/>
                <w:sz w:val="21"/>
                <w:szCs w:val="21"/>
              </w:rPr>
            </w:pPr>
          </w:p>
        </w:tc>
        <w:tc>
          <w:tcPr>
            <w:tcW w:w="3367" w:type="dxa"/>
          </w:tcPr>
          <w:p>
            <w:pPr>
              <w:pStyle w:val="11"/>
              <w:adjustRightInd w:val="0"/>
              <w:snapToGrid w:val="0"/>
              <w:spacing w:line="276" w:lineRule="auto"/>
              <w:jc w:val="both"/>
              <w:rPr>
                <w:rFonts w:ascii="Times New Roman" w:hAnsi="宋体" w:eastAsia="宋体" w:cs="Times New Roman"/>
                <w:kern w:val="0"/>
                <w:sz w:val="21"/>
                <w:szCs w:val="21"/>
                <w:lang w:eastAsia="zh-CN"/>
              </w:rPr>
            </w:pPr>
            <w:r>
              <w:rPr>
                <w:rFonts w:hint="eastAsia" w:ascii="Times New Roman" w:hAnsi="宋体" w:eastAsia="宋体" w:cs="Times New Roman"/>
                <w:kern w:val="0"/>
                <w:sz w:val="21"/>
                <w:szCs w:val="21"/>
                <w:lang w:eastAsia="zh-CN"/>
              </w:rPr>
              <w:t>采集频率</w:t>
            </w:r>
          </w:p>
        </w:tc>
        <w:tc>
          <w:tcPr>
            <w:tcW w:w="4043" w:type="dxa"/>
          </w:tcPr>
          <w:p>
            <w:pPr>
              <w:spacing w:line="276" w:lineRule="auto"/>
              <w:rPr>
                <w:rFonts w:ascii="Times New Roman" w:hAnsi="Times New Roman" w:eastAsia="宋体" w:cs="Times New Roman"/>
                <w:kern w:val="0"/>
                <w:sz w:val="21"/>
                <w:szCs w:val="21"/>
              </w:rPr>
            </w:pPr>
            <w:r>
              <w:rPr>
                <w:rFonts w:hint="eastAsia" w:ascii="Times New Roman" w:hAnsi="宋体" w:eastAsia="宋体" w:cs="Times New Roman"/>
                <w:kern w:val="0"/>
                <w:sz w:val="21"/>
                <w:szCs w:val="21"/>
              </w:rPr>
              <w:t>不低于8</w:t>
            </w:r>
            <w:r>
              <w:rPr>
                <w:rFonts w:ascii="Times New Roman" w:hAnsi="宋体" w:eastAsia="宋体" w:cs="Times New Roman"/>
                <w:kern w:val="0"/>
                <w:sz w:val="21"/>
                <w:szCs w:val="21"/>
              </w:rPr>
              <w:t>0HZ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52" w:type="dxa"/>
            <w:vMerge w:val="restart"/>
            <w:vAlign w:val="center"/>
          </w:tcPr>
          <w:p>
            <w:pPr>
              <w:spacing w:line="276" w:lineRule="auto"/>
              <w:jc w:val="center"/>
              <w:rPr>
                <w:rFonts w:hint="eastAsia" w:ascii="Times New Roman" w:hAnsi="宋体" w:eastAsia="宋体" w:cs="Times New Roman"/>
                <w:b/>
                <w:kern w:val="0"/>
                <w:sz w:val="21"/>
                <w:szCs w:val="21"/>
              </w:rPr>
            </w:pPr>
            <w:r>
              <w:rPr>
                <w:rFonts w:ascii="Times New Roman" w:hAnsi="宋体" w:eastAsia="宋体" w:cs="Times New Roman"/>
                <w:b/>
                <w:kern w:val="0"/>
                <w:sz w:val="21"/>
                <w:szCs w:val="21"/>
              </w:rPr>
              <w:t>动态轴向压缩柱</w:t>
            </w:r>
          </w:p>
          <w:p>
            <w:pPr>
              <w:spacing w:line="276" w:lineRule="auto"/>
              <w:jc w:val="center"/>
              <w:rPr>
                <w:rFonts w:ascii="Times New Roman" w:hAnsi="宋体" w:eastAsia="宋体" w:cs="Times New Roman"/>
                <w:b/>
                <w:kern w:val="0"/>
                <w:sz w:val="21"/>
                <w:szCs w:val="21"/>
              </w:rPr>
            </w:pPr>
            <w:r>
              <w:rPr>
                <w:rFonts w:ascii="Times New Roman" w:hAnsi="宋体" w:eastAsia="宋体" w:cs="Times New Roman"/>
                <w:b/>
                <w:kern w:val="0"/>
                <w:sz w:val="21"/>
                <w:szCs w:val="21"/>
              </w:rPr>
              <w:t>DAC-</w:t>
            </w:r>
            <w:r>
              <w:rPr>
                <w:rFonts w:hint="eastAsia" w:ascii="Times New Roman" w:hAnsi="宋体" w:eastAsia="宋体" w:cs="Times New Roman"/>
                <w:b/>
                <w:kern w:val="0"/>
                <w:sz w:val="21"/>
                <w:szCs w:val="21"/>
              </w:rPr>
              <w:t>5</w:t>
            </w:r>
            <w:r>
              <w:rPr>
                <w:rFonts w:ascii="Times New Roman" w:hAnsi="宋体" w:eastAsia="宋体" w:cs="Times New Roman"/>
                <w:b/>
                <w:kern w:val="0"/>
                <w:sz w:val="21"/>
                <w:szCs w:val="21"/>
              </w:rPr>
              <w:t>0</w:t>
            </w:r>
            <w:r>
              <w:rPr>
                <w:rFonts w:hint="eastAsia" w:ascii="Times New Roman" w:hAnsi="宋体" w:eastAsia="宋体" w:cs="Times New Roman"/>
                <w:b/>
                <w:kern w:val="0"/>
                <w:sz w:val="21"/>
                <w:szCs w:val="21"/>
              </w:rPr>
              <w:t>（含填料）</w:t>
            </w:r>
          </w:p>
        </w:tc>
        <w:tc>
          <w:tcPr>
            <w:tcW w:w="3367" w:type="dxa"/>
          </w:tcPr>
          <w:p>
            <w:pPr>
              <w:pStyle w:val="11"/>
              <w:adjustRightInd w:val="0"/>
              <w:snapToGrid w:val="0"/>
              <w:spacing w:line="276" w:lineRule="auto"/>
              <w:jc w:val="both"/>
              <w:rPr>
                <w:rFonts w:ascii="Times New Roman" w:hAnsi="Times New Roman" w:eastAsia="宋体" w:cs="Times New Roman"/>
                <w:bCs w:val="0"/>
                <w:kern w:val="0"/>
                <w:sz w:val="21"/>
                <w:szCs w:val="21"/>
                <w:lang w:eastAsia="zh-CN"/>
              </w:rPr>
            </w:pPr>
            <w:r>
              <w:rPr>
                <w:rFonts w:ascii="Times New Roman" w:hAnsi="Times New Roman" w:eastAsia="宋体" w:cs="Times New Roman"/>
                <w:bCs w:val="0"/>
                <w:kern w:val="0"/>
                <w:sz w:val="21"/>
                <w:szCs w:val="21"/>
                <w:lang w:eastAsia="zh-CN"/>
              </w:rPr>
              <w:t>柱管</w:t>
            </w:r>
            <w:r>
              <w:rPr>
                <w:rFonts w:hint="eastAsia" w:ascii="Times New Roman" w:hAnsi="Times New Roman" w:eastAsia="宋体" w:cs="Times New Roman"/>
                <w:bCs w:val="0"/>
                <w:kern w:val="0"/>
                <w:sz w:val="21"/>
                <w:szCs w:val="21"/>
                <w:lang w:eastAsia="zh-CN"/>
              </w:rPr>
              <w:t>、</w:t>
            </w:r>
            <w:r>
              <w:rPr>
                <w:rFonts w:ascii="Times New Roman" w:hAnsi="Times New Roman" w:eastAsia="宋体" w:cs="Times New Roman"/>
                <w:bCs w:val="0"/>
                <w:kern w:val="0"/>
                <w:sz w:val="21"/>
                <w:szCs w:val="21"/>
                <w:lang w:eastAsia="zh-CN"/>
              </w:rPr>
              <w:t>端盖</w:t>
            </w:r>
            <w:r>
              <w:rPr>
                <w:rFonts w:hint="eastAsia" w:ascii="Times New Roman" w:hAnsi="Times New Roman" w:eastAsia="宋体" w:cs="Times New Roman"/>
                <w:bCs w:val="0"/>
                <w:kern w:val="0"/>
                <w:sz w:val="21"/>
                <w:szCs w:val="21"/>
                <w:lang w:eastAsia="zh-CN"/>
              </w:rPr>
              <w:t>、</w:t>
            </w:r>
            <w:r>
              <w:rPr>
                <w:rFonts w:ascii="Times New Roman" w:hAnsi="Times New Roman" w:eastAsia="宋体" w:cs="Times New Roman"/>
                <w:bCs w:val="0"/>
                <w:kern w:val="0"/>
                <w:sz w:val="21"/>
                <w:szCs w:val="21"/>
                <w:lang w:eastAsia="zh-CN"/>
              </w:rPr>
              <w:t>活塞等材质</w:t>
            </w:r>
          </w:p>
        </w:tc>
        <w:tc>
          <w:tcPr>
            <w:tcW w:w="4043" w:type="dxa"/>
          </w:tcPr>
          <w:p>
            <w:pPr>
              <w:spacing w:line="276" w:lineRule="auto"/>
              <w:rPr>
                <w:rFonts w:ascii="Times New Roman" w:hAnsi="宋体" w:eastAsia="宋体" w:cs="Times New Roman"/>
                <w:kern w:val="0"/>
                <w:sz w:val="21"/>
                <w:szCs w:val="21"/>
              </w:rPr>
            </w:pPr>
            <w:r>
              <w:rPr>
                <w:rFonts w:ascii="Times New Roman" w:hAnsi="Times New Roman" w:eastAsia="宋体" w:cs="Times New Roman"/>
                <w:kern w:val="0"/>
                <w:sz w:val="21"/>
                <w:szCs w:val="21"/>
              </w:rPr>
              <w:t>均需SS316L不锈钢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52" w:type="dxa"/>
            <w:vMerge w:val="continue"/>
            <w:vAlign w:val="center"/>
          </w:tcPr>
          <w:p>
            <w:pPr>
              <w:spacing w:line="276" w:lineRule="auto"/>
              <w:jc w:val="center"/>
              <w:rPr>
                <w:rFonts w:ascii="Times New Roman" w:hAnsi="宋体" w:eastAsia="宋体" w:cs="Times New Roman"/>
                <w:b/>
                <w:kern w:val="0"/>
                <w:sz w:val="21"/>
                <w:szCs w:val="21"/>
              </w:rPr>
            </w:pPr>
          </w:p>
        </w:tc>
        <w:tc>
          <w:tcPr>
            <w:tcW w:w="3367" w:type="dxa"/>
          </w:tcPr>
          <w:p>
            <w:pPr>
              <w:pStyle w:val="11"/>
              <w:adjustRightInd w:val="0"/>
              <w:snapToGrid w:val="0"/>
              <w:spacing w:line="276" w:lineRule="auto"/>
              <w:jc w:val="both"/>
              <w:rPr>
                <w:rFonts w:ascii="Times New Roman" w:hAnsi="Times New Roman" w:eastAsia="宋体" w:cs="Times New Roman"/>
                <w:bCs w:val="0"/>
                <w:kern w:val="0"/>
                <w:sz w:val="21"/>
                <w:szCs w:val="21"/>
                <w:lang w:eastAsia="zh-CN"/>
              </w:rPr>
            </w:pPr>
            <w:r>
              <w:rPr>
                <w:rFonts w:ascii="Times New Roman" w:hAnsi="Times New Roman" w:eastAsia="宋体" w:cs="Times New Roman"/>
                <w:bCs w:val="0"/>
                <w:kern w:val="0"/>
                <w:sz w:val="21"/>
                <w:szCs w:val="21"/>
                <w:lang w:eastAsia="zh-CN"/>
              </w:rPr>
              <w:t>与液体接触的材质</w:t>
            </w:r>
          </w:p>
        </w:tc>
        <w:tc>
          <w:tcPr>
            <w:tcW w:w="4043" w:type="dxa"/>
          </w:tcPr>
          <w:p>
            <w:pPr>
              <w:spacing w:line="276" w:lineRule="auto"/>
              <w:rPr>
                <w:rFonts w:ascii="Times New Roman" w:hAnsi="Times New Roman" w:eastAsia="宋体" w:cs="Times New Roman"/>
                <w:kern w:val="0"/>
                <w:sz w:val="21"/>
                <w:szCs w:val="21"/>
              </w:rPr>
            </w:pPr>
            <w:r>
              <w:rPr>
                <w:rFonts w:ascii="Times New Roman" w:hAnsi="Times New Roman" w:eastAsia="宋体" w:cs="Times New Roman"/>
                <w:kern w:val="0"/>
                <w:sz w:val="21"/>
                <w:szCs w:val="21"/>
              </w:rPr>
              <w:t>SS316L/PTFE不锈钢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52" w:type="dxa"/>
            <w:vMerge w:val="continue"/>
            <w:vAlign w:val="center"/>
          </w:tcPr>
          <w:p>
            <w:pPr>
              <w:spacing w:line="276" w:lineRule="auto"/>
              <w:jc w:val="center"/>
              <w:rPr>
                <w:rFonts w:ascii="Times New Roman" w:hAnsi="宋体" w:eastAsia="宋体" w:cs="Times New Roman"/>
                <w:b/>
                <w:kern w:val="0"/>
                <w:sz w:val="21"/>
                <w:szCs w:val="21"/>
              </w:rPr>
            </w:pPr>
          </w:p>
        </w:tc>
        <w:tc>
          <w:tcPr>
            <w:tcW w:w="3367" w:type="dxa"/>
          </w:tcPr>
          <w:p>
            <w:pPr>
              <w:pStyle w:val="11"/>
              <w:adjustRightInd w:val="0"/>
              <w:snapToGrid w:val="0"/>
              <w:spacing w:line="276" w:lineRule="auto"/>
              <w:jc w:val="both"/>
              <w:rPr>
                <w:rFonts w:ascii="Times New Roman" w:hAnsi="Times New Roman" w:eastAsia="宋体" w:cs="Times New Roman"/>
                <w:bCs w:val="0"/>
                <w:kern w:val="0"/>
                <w:sz w:val="21"/>
                <w:szCs w:val="21"/>
                <w:lang w:eastAsia="zh-CN"/>
              </w:rPr>
            </w:pPr>
            <w:r>
              <w:rPr>
                <w:rFonts w:ascii="Times New Roman" w:hAnsi="Times New Roman" w:eastAsia="宋体" w:cs="Times New Roman"/>
                <w:bCs w:val="0"/>
                <w:kern w:val="0"/>
                <w:sz w:val="21"/>
                <w:szCs w:val="21"/>
                <w:lang w:eastAsia="zh-CN"/>
              </w:rPr>
              <w:t>柱管光洁度</w:t>
            </w:r>
          </w:p>
        </w:tc>
        <w:tc>
          <w:tcPr>
            <w:tcW w:w="4043" w:type="dxa"/>
          </w:tcPr>
          <w:p>
            <w:pPr>
              <w:spacing w:line="276" w:lineRule="auto"/>
              <w:rPr>
                <w:rFonts w:ascii="Times New Roman" w:hAnsi="宋体" w:eastAsia="宋体" w:cs="Times New Roman"/>
                <w:kern w:val="0"/>
                <w:sz w:val="21"/>
                <w:szCs w:val="21"/>
              </w:rPr>
            </w:pPr>
            <w:r>
              <w:rPr>
                <w:rFonts w:ascii="Times New Roman" w:hAnsi="Times New Roman" w:eastAsia="宋体" w:cs="Times New Roman"/>
                <w:kern w:val="0"/>
                <w:sz w:val="21"/>
                <w:szCs w:val="21"/>
              </w:rPr>
              <w:t>≤0.</w:t>
            </w:r>
            <w:r>
              <w:rPr>
                <w:rFonts w:hint="eastAsia" w:ascii="Times New Roman" w:hAnsi="Times New Roman" w:eastAsia="宋体" w:cs="Times New Roman"/>
                <w:kern w:val="0"/>
                <w:sz w:val="21"/>
                <w:szCs w:val="21"/>
              </w:rPr>
              <w:t>4</w:t>
            </w:r>
            <w:r>
              <w:rPr>
                <w:rFonts w:ascii="Times New Roman" w:hAnsi="Times New Roman" w:eastAsia="宋体" w:cs="Times New Roman"/>
                <w:kern w:val="0"/>
                <w:sz w:val="21"/>
                <w:szCs w:val="21"/>
              </w:rPr>
              <w:t>um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52" w:type="dxa"/>
            <w:vMerge w:val="continue"/>
            <w:vAlign w:val="center"/>
          </w:tcPr>
          <w:p>
            <w:pPr>
              <w:spacing w:line="276" w:lineRule="auto"/>
              <w:jc w:val="center"/>
              <w:rPr>
                <w:rFonts w:ascii="Times New Roman" w:hAnsi="宋体" w:eastAsia="宋体" w:cs="Times New Roman"/>
                <w:b/>
                <w:kern w:val="0"/>
                <w:sz w:val="21"/>
                <w:szCs w:val="21"/>
              </w:rPr>
            </w:pPr>
          </w:p>
        </w:tc>
        <w:tc>
          <w:tcPr>
            <w:tcW w:w="3367" w:type="dxa"/>
          </w:tcPr>
          <w:p>
            <w:pPr>
              <w:pStyle w:val="11"/>
              <w:adjustRightInd w:val="0"/>
              <w:snapToGrid w:val="0"/>
              <w:spacing w:line="276" w:lineRule="auto"/>
              <w:jc w:val="both"/>
              <w:rPr>
                <w:rFonts w:ascii="Times New Roman" w:hAnsi="Times New Roman" w:eastAsia="宋体" w:cs="Times New Roman"/>
                <w:bCs w:val="0"/>
                <w:kern w:val="0"/>
                <w:sz w:val="21"/>
                <w:szCs w:val="21"/>
                <w:lang w:eastAsia="zh-CN"/>
              </w:rPr>
            </w:pPr>
            <w:r>
              <w:rPr>
                <w:rFonts w:ascii="Times New Roman" w:hAnsi="Times New Roman" w:eastAsia="宋体" w:cs="Times New Roman"/>
                <w:bCs w:val="0"/>
                <w:kern w:val="0"/>
                <w:sz w:val="21"/>
                <w:szCs w:val="21"/>
                <w:lang w:eastAsia="zh-CN"/>
              </w:rPr>
              <w:t>耐压</w:t>
            </w:r>
          </w:p>
        </w:tc>
        <w:tc>
          <w:tcPr>
            <w:tcW w:w="4043" w:type="dxa"/>
          </w:tcPr>
          <w:p>
            <w:pPr>
              <w:spacing w:line="276" w:lineRule="auto"/>
              <w:rPr>
                <w:rFonts w:ascii="Times New Roman" w:hAnsi="Times New Roman" w:eastAsia="宋体" w:cs="Times New Roman"/>
                <w:kern w:val="0"/>
                <w:sz w:val="21"/>
                <w:szCs w:val="21"/>
              </w:rPr>
            </w:pPr>
            <w:r>
              <w:rPr>
                <w:rFonts w:ascii="Times New Roman" w:hAnsi="Times New Roman" w:eastAsia="宋体" w:cs="Times New Roman"/>
                <w:kern w:val="0"/>
                <w:sz w:val="21"/>
                <w:szCs w:val="21"/>
              </w:rPr>
              <w:t>10MPa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52" w:type="dxa"/>
            <w:vMerge w:val="continue"/>
            <w:vAlign w:val="center"/>
          </w:tcPr>
          <w:p>
            <w:pPr>
              <w:spacing w:line="276" w:lineRule="auto"/>
              <w:jc w:val="center"/>
              <w:rPr>
                <w:rFonts w:ascii="Times New Roman" w:hAnsi="宋体" w:eastAsia="宋体" w:cs="Times New Roman"/>
                <w:b/>
                <w:kern w:val="0"/>
                <w:sz w:val="21"/>
                <w:szCs w:val="21"/>
              </w:rPr>
            </w:pPr>
          </w:p>
        </w:tc>
        <w:tc>
          <w:tcPr>
            <w:tcW w:w="3367" w:type="dxa"/>
          </w:tcPr>
          <w:p>
            <w:pPr>
              <w:pStyle w:val="11"/>
              <w:adjustRightInd w:val="0"/>
              <w:snapToGrid w:val="0"/>
              <w:spacing w:line="276" w:lineRule="auto"/>
              <w:jc w:val="both"/>
              <w:rPr>
                <w:rFonts w:ascii="Times New Roman" w:hAnsi="Times New Roman" w:eastAsia="宋体" w:cs="Times New Roman"/>
                <w:bCs w:val="0"/>
                <w:kern w:val="0"/>
                <w:sz w:val="21"/>
                <w:szCs w:val="21"/>
                <w:lang w:eastAsia="zh-CN"/>
              </w:rPr>
            </w:pPr>
            <w:r>
              <w:rPr>
                <w:rFonts w:hint="eastAsia" w:ascii="微软雅黑" w:hAnsi="微软雅黑" w:eastAsia="微软雅黑" w:cs="微软雅黑"/>
                <w:color w:val="000000"/>
                <w:kern w:val="0"/>
                <w:sz w:val="21"/>
                <w:szCs w:val="21"/>
              </w:rPr>
              <w:t>C18  10um</w:t>
            </w:r>
          </w:p>
        </w:tc>
        <w:tc>
          <w:tcPr>
            <w:tcW w:w="4043" w:type="dxa"/>
          </w:tcPr>
          <w:p>
            <w:pPr>
              <w:spacing w:line="276" w:lineRule="auto"/>
              <w:rPr>
                <w:rFonts w:ascii="Times New Roman" w:hAnsi="Times New Roman" w:eastAsia="宋体" w:cs="Times New Roman"/>
                <w:kern w:val="0"/>
                <w:sz w:val="21"/>
                <w:szCs w:val="21"/>
              </w:rPr>
            </w:pPr>
            <w:r>
              <w:rPr>
                <w:rFonts w:hint="eastAsia" w:ascii="Times New Roman" w:hAnsi="Times New Roman" w:eastAsia="宋体" w:cs="Times New Roman"/>
                <w:kern w:val="0"/>
                <w:sz w:val="21"/>
                <w:szCs w:val="21"/>
              </w:rPr>
              <w:t>满足常规样品的制备分离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52" w:type="dxa"/>
          </w:tcPr>
          <w:p>
            <w:pPr>
              <w:spacing w:line="276" w:lineRule="auto"/>
              <w:jc w:val="center"/>
              <w:rPr>
                <w:rFonts w:ascii="Times New Roman" w:hAnsi="宋体" w:eastAsia="宋体" w:cs="Times New Roman"/>
                <w:b/>
                <w:kern w:val="0"/>
                <w:sz w:val="21"/>
                <w:szCs w:val="21"/>
              </w:rPr>
            </w:pPr>
            <w:r>
              <w:rPr>
                <w:rFonts w:ascii="Times New Roman" w:hAnsi="宋体" w:eastAsia="宋体" w:cs="Times New Roman"/>
                <w:b/>
                <w:kern w:val="0"/>
                <w:sz w:val="21"/>
                <w:szCs w:val="21"/>
              </w:rPr>
              <w:t>色谱工作站</w:t>
            </w:r>
          </w:p>
        </w:tc>
        <w:tc>
          <w:tcPr>
            <w:tcW w:w="3367" w:type="dxa"/>
          </w:tcPr>
          <w:p>
            <w:pPr>
              <w:pStyle w:val="11"/>
              <w:adjustRightInd w:val="0"/>
              <w:snapToGrid w:val="0"/>
              <w:spacing w:line="276" w:lineRule="auto"/>
              <w:jc w:val="both"/>
              <w:rPr>
                <w:rFonts w:ascii="Times New Roman" w:hAnsi="Times New Roman" w:eastAsia="宋体" w:cs="Times New Roman"/>
                <w:color w:val="000000"/>
                <w:kern w:val="0"/>
                <w:sz w:val="21"/>
                <w:szCs w:val="21"/>
                <w:lang w:eastAsia="zh-CN"/>
              </w:rPr>
            </w:pPr>
            <w:r>
              <w:rPr>
                <w:rFonts w:ascii="Times New Roman" w:hAnsi="Times New Roman" w:eastAsia="宋体" w:cs="Times New Roman"/>
                <w:color w:val="000000"/>
                <w:kern w:val="0"/>
                <w:sz w:val="21"/>
                <w:szCs w:val="21"/>
                <w:lang w:eastAsia="zh-CN"/>
              </w:rPr>
              <w:t>与液相配套的色谱工作站</w:t>
            </w:r>
          </w:p>
        </w:tc>
        <w:tc>
          <w:tcPr>
            <w:tcW w:w="4043" w:type="dxa"/>
          </w:tcPr>
          <w:p>
            <w:pPr>
              <w:spacing w:line="276" w:lineRule="auto"/>
              <w:rPr>
                <w:rFonts w:ascii="微软雅黑" w:hAnsi="微软雅黑" w:eastAsia="微软雅黑" w:cs="微软雅黑"/>
                <w:color w:val="000000"/>
                <w:kern w:val="0"/>
                <w:sz w:val="21"/>
                <w:szCs w:val="21"/>
              </w:rPr>
            </w:pPr>
            <w:r>
              <w:rPr>
                <w:rFonts w:hint="eastAsia" w:ascii="Times New Roman" w:hAnsi="Times New Roman" w:eastAsia="宋体" w:cs="Times New Roman"/>
                <w:bCs/>
                <w:color w:val="000000"/>
                <w:kern w:val="0"/>
                <w:sz w:val="21"/>
                <w:szCs w:val="21"/>
              </w:rPr>
              <w:t>可满足权限管理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52" w:type="dxa"/>
          </w:tcPr>
          <w:p>
            <w:pPr>
              <w:spacing w:line="276" w:lineRule="auto"/>
              <w:jc w:val="center"/>
              <w:rPr>
                <w:rFonts w:ascii="Times New Roman" w:hAnsi="宋体" w:eastAsia="宋体" w:cs="Times New Roman"/>
                <w:b/>
                <w:kern w:val="0"/>
                <w:sz w:val="21"/>
                <w:szCs w:val="21"/>
              </w:rPr>
            </w:pPr>
            <w:r>
              <w:rPr>
                <w:rFonts w:ascii="Times New Roman" w:hAnsi="宋体" w:eastAsia="宋体" w:cs="Times New Roman"/>
                <w:b/>
                <w:kern w:val="0"/>
                <w:sz w:val="21"/>
                <w:szCs w:val="21"/>
              </w:rPr>
              <w:t>电脑</w:t>
            </w:r>
          </w:p>
        </w:tc>
        <w:tc>
          <w:tcPr>
            <w:tcW w:w="3367" w:type="dxa"/>
          </w:tcPr>
          <w:p>
            <w:pPr>
              <w:pStyle w:val="11"/>
              <w:adjustRightInd w:val="0"/>
              <w:snapToGrid w:val="0"/>
              <w:spacing w:line="276" w:lineRule="auto"/>
              <w:jc w:val="both"/>
              <w:rPr>
                <w:rFonts w:ascii="Times New Roman" w:hAnsi="Times New Roman" w:eastAsia="宋体" w:cs="Times New Roman"/>
                <w:color w:val="000000"/>
                <w:kern w:val="0"/>
                <w:sz w:val="21"/>
                <w:szCs w:val="21"/>
                <w:lang w:eastAsia="zh-CN"/>
              </w:rPr>
            </w:pPr>
            <w:r>
              <w:rPr>
                <w:rFonts w:ascii="Times New Roman" w:hAnsi="Times New Roman" w:eastAsia="宋体" w:cs="Times New Roman"/>
                <w:color w:val="000000"/>
                <w:kern w:val="0"/>
                <w:sz w:val="21"/>
                <w:szCs w:val="21"/>
                <w:lang w:eastAsia="zh-CN"/>
              </w:rPr>
              <w:t>联想或惠普台式电脑</w:t>
            </w:r>
            <w:r>
              <w:rPr>
                <w:rFonts w:hint="eastAsia" w:ascii="Times New Roman" w:hAnsi="Times New Roman" w:eastAsia="宋体" w:cs="Times New Roman"/>
                <w:color w:val="000000"/>
                <w:kern w:val="0"/>
                <w:sz w:val="21"/>
                <w:szCs w:val="21"/>
                <w:lang w:eastAsia="zh-CN"/>
              </w:rPr>
              <w:t>1台</w:t>
            </w:r>
          </w:p>
        </w:tc>
        <w:tc>
          <w:tcPr>
            <w:tcW w:w="4043" w:type="dxa"/>
          </w:tcPr>
          <w:p>
            <w:pPr>
              <w:spacing w:line="276" w:lineRule="auto"/>
              <w:rPr>
                <w:rFonts w:ascii="Times New Roman" w:hAnsi="Times New Roman" w:eastAsia="宋体" w:cs="Times New Roman"/>
                <w:bCs/>
                <w:color w:val="000000"/>
                <w:kern w:val="0"/>
                <w:sz w:val="21"/>
                <w:szCs w:val="21"/>
              </w:rPr>
            </w:pPr>
            <w:r>
              <w:rPr>
                <w:rFonts w:hint="eastAsia" w:ascii="Times New Roman" w:hAnsi="Times New Roman" w:eastAsia="宋体" w:cs="Times New Roman"/>
                <w:bCs/>
                <w:color w:val="000000"/>
                <w:kern w:val="0"/>
                <w:sz w:val="21"/>
                <w:szCs w:val="21"/>
              </w:rPr>
              <w:t>满足制备液相使用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trPr>
        <w:tc>
          <w:tcPr>
            <w:tcW w:w="2552" w:type="dxa"/>
            <w:vAlign w:val="center"/>
          </w:tcPr>
          <w:p>
            <w:pPr>
              <w:spacing w:line="276" w:lineRule="auto"/>
              <w:jc w:val="center"/>
              <w:rPr>
                <w:rFonts w:ascii="Times New Roman" w:hAnsi="宋体" w:eastAsia="宋体" w:cs="Times New Roman"/>
                <w:b/>
                <w:kern w:val="0"/>
                <w:sz w:val="21"/>
                <w:szCs w:val="21"/>
              </w:rPr>
            </w:pPr>
            <w:r>
              <w:rPr>
                <w:rFonts w:ascii="Times New Roman" w:hAnsi="宋体" w:eastAsia="宋体" w:cs="Times New Roman"/>
                <w:b/>
                <w:kern w:val="0"/>
                <w:sz w:val="21"/>
                <w:szCs w:val="21"/>
              </w:rPr>
              <w:t>品牌及型号</w:t>
            </w:r>
          </w:p>
        </w:tc>
        <w:tc>
          <w:tcPr>
            <w:tcW w:w="7410" w:type="dxa"/>
            <w:gridSpan w:val="2"/>
            <w:vAlign w:val="center"/>
          </w:tcPr>
          <w:p>
            <w:pPr>
              <w:pStyle w:val="11"/>
              <w:adjustRightInd w:val="0"/>
              <w:snapToGrid w:val="0"/>
              <w:spacing w:line="276" w:lineRule="auto"/>
              <w:jc w:val="both"/>
              <w:rPr>
                <w:rFonts w:ascii="Times New Roman" w:hAnsi="Times New Roman" w:eastAsia="宋体" w:cs="Times New Roman"/>
                <w:color w:val="000000"/>
                <w:kern w:val="0"/>
                <w:sz w:val="21"/>
                <w:szCs w:val="21"/>
                <w:lang w:eastAsia="zh-CN"/>
              </w:rPr>
            </w:pPr>
            <w:r>
              <w:rPr>
                <w:rFonts w:ascii="Times New Roman" w:hAnsi="Times New Roman" w:eastAsia="宋体" w:cs="Times New Roman"/>
                <w:color w:val="000000"/>
                <w:kern w:val="0"/>
                <w:sz w:val="21"/>
                <w:szCs w:val="21"/>
                <w:lang w:eastAsia="zh-CN"/>
              </w:rPr>
              <w:t>新芝SCIENTZ-10N多歧管压盖型冷冻干燥机</w:t>
            </w:r>
            <w:r>
              <w:rPr>
                <w:rFonts w:hint="eastAsia" w:ascii="Times New Roman" w:hAnsi="Times New Roman" w:eastAsia="宋体" w:cs="Times New Roman"/>
                <w:color w:val="000000"/>
                <w:kern w:val="0"/>
                <w:sz w:val="21"/>
                <w:szCs w:val="21"/>
                <w:lang w:eastAsia="zh-CN"/>
              </w:rPr>
              <w:t>（冷肼-80度；配无油泵）</w:t>
            </w:r>
          </w:p>
        </w:tc>
      </w:tr>
    </w:tbl>
    <w:p>
      <w:pPr>
        <w:pStyle w:val="11"/>
        <w:adjustRightInd w:val="0"/>
        <w:snapToGrid w:val="0"/>
        <w:jc w:val="both"/>
        <w:rPr>
          <w:rFonts w:ascii="Times New Roman" w:hAnsi="Times New Roman" w:eastAsia="宋体" w:cs="Times New Roman"/>
          <w:color w:val="000000"/>
          <w:kern w:val="0"/>
          <w:sz w:val="21"/>
          <w:szCs w:val="21"/>
          <w:lang w:eastAsia="zh-CN"/>
        </w:rPr>
      </w:pPr>
    </w:p>
    <w:p>
      <w:pPr>
        <w:jc w:val="center"/>
        <w:rPr>
          <w:szCs w:val="21"/>
        </w:rPr>
      </w:pPr>
      <w:r>
        <w:rPr>
          <w:rFonts w:hint="eastAsia"/>
          <w:szCs w:val="21"/>
        </w:rPr>
        <w:t xml:space="preserve">                  </w:t>
      </w:r>
    </w:p>
    <w:p>
      <w:pPr>
        <w:rPr>
          <w:szCs w:val="21"/>
        </w:rPr>
        <w:sectPr>
          <w:pgSz w:w="11906" w:h="16838"/>
          <w:pgMar w:top="1440" w:right="1080" w:bottom="1440" w:left="1080" w:header="851" w:footer="992" w:gutter="0"/>
          <w:cols w:space="425" w:num="1"/>
          <w:docGrid w:type="lines" w:linePitch="312" w:charSpace="0"/>
        </w:sectPr>
      </w:pPr>
      <w:r>
        <w:rPr>
          <w:rFonts w:hint="eastAsia" w:ascii="Times New Roman" w:hAnsi="宋体" w:cs="Times New Roman"/>
          <w:b/>
          <w:bCs/>
          <w:kern w:val="0"/>
          <w:szCs w:val="21"/>
        </w:rPr>
        <w:t xml:space="preserve">           </w:t>
      </w:r>
    </w:p>
    <w:tbl>
      <w:tblPr>
        <w:tblStyle w:val="6"/>
        <w:tblW w:w="8651"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0"/>
        <w:gridCol w:w="74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atLeast"/>
        </w:trPr>
        <w:tc>
          <w:tcPr>
            <w:tcW w:w="8651" w:type="dxa"/>
            <w:gridSpan w:val="2"/>
            <w:noWrap/>
            <w:vAlign w:val="center"/>
          </w:tcPr>
          <w:p>
            <w:pPr>
              <w:pStyle w:val="10"/>
              <w:adjustRightInd w:val="0"/>
              <w:snapToGrid w:val="0"/>
              <w:jc w:val="center"/>
              <w:rPr>
                <w:b/>
                <w:sz w:val="24"/>
                <w:lang w:eastAsia="zh-CN"/>
              </w:rPr>
            </w:pPr>
            <w:bookmarkStart w:id="0" w:name="_Toc422605245"/>
            <w:r>
              <w:rPr>
                <w:rFonts w:hint="eastAsia" w:hAnsi="宋体"/>
                <w:b/>
                <w:bCs/>
                <w:sz w:val="24"/>
                <w:lang w:eastAsia="zh-CN"/>
              </w:rPr>
              <w:t>其他</w:t>
            </w:r>
            <w:r>
              <w:rPr>
                <w:rFonts w:hAnsi="宋体"/>
                <w:b/>
                <w:bCs/>
                <w:sz w:val="24"/>
              </w:rPr>
              <w:t>要求</w:t>
            </w:r>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trPr>
        <w:tc>
          <w:tcPr>
            <w:tcW w:w="1240" w:type="dxa"/>
            <w:noWrap/>
            <w:vAlign w:val="center"/>
          </w:tcPr>
          <w:p>
            <w:pPr>
              <w:pStyle w:val="11"/>
              <w:adjustRightInd w:val="0"/>
              <w:snapToGrid w:val="0"/>
              <w:rPr>
                <w:rFonts w:hAnsi="宋体"/>
                <w:b/>
                <w:bCs w:val="0"/>
                <w:lang w:eastAsia="zh-CN"/>
              </w:rPr>
            </w:pPr>
            <w:r>
              <w:rPr>
                <w:rFonts w:hint="eastAsia" w:hAnsi="宋体"/>
                <w:b/>
                <w:bCs w:val="0"/>
                <w:lang w:eastAsia="zh-CN"/>
              </w:rPr>
              <w:t>法规要求</w:t>
            </w:r>
          </w:p>
        </w:tc>
        <w:tc>
          <w:tcPr>
            <w:tcW w:w="7411" w:type="dxa"/>
            <w:noWrap/>
            <w:vAlign w:val="center"/>
          </w:tcPr>
          <w:p>
            <w:pPr>
              <w:pStyle w:val="11"/>
              <w:adjustRightInd w:val="0"/>
              <w:snapToGrid w:val="0"/>
              <w:rPr>
                <w:rFonts w:hAnsi="宋体"/>
                <w:lang w:eastAsia="zh-CN"/>
              </w:rPr>
            </w:pPr>
            <w:r>
              <w:rPr>
                <w:rFonts w:hint="eastAsia" w:hAnsi="宋体"/>
                <w:lang w:eastAsia="zh-CN"/>
              </w:rPr>
              <w:t>仪器的安装、调试和验收，符合国家或国际计量检定相关法规要求。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trPr>
        <w:tc>
          <w:tcPr>
            <w:tcW w:w="1240" w:type="dxa"/>
            <w:vMerge w:val="restart"/>
            <w:noWrap/>
            <w:vAlign w:val="center"/>
          </w:tcPr>
          <w:p>
            <w:pPr>
              <w:pStyle w:val="11"/>
              <w:adjustRightInd w:val="0"/>
              <w:snapToGrid w:val="0"/>
              <w:rPr>
                <w:rFonts w:hAnsi="宋体"/>
                <w:b/>
                <w:bCs w:val="0"/>
                <w:lang w:eastAsia="zh-CN"/>
              </w:rPr>
            </w:pPr>
            <w:r>
              <w:rPr>
                <w:rFonts w:hint="eastAsia" w:hAnsi="宋体"/>
                <w:b/>
                <w:bCs w:val="0"/>
                <w:lang w:eastAsia="zh-CN"/>
              </w:rPr>
              <w:t>设备验收和安装调试</w:t>
            </w:r>
          </w:p>
          <w:p>
            <w:pPr>
              <w:pStyle w:val="11"/>
              <w:adjustRightInd w:val="0"/>
              <w:snapToGrid w:val="0"/>
              <w:rPr>
                <w:rFonts w:hAnsi="宋体"/>
                <w:b/>
                <w:bCs w:val="0"/>
                <w:lang w:eastAsia="zh-CN"/>
              </w:rPr>
            </w:pPr>
          </w:p>
        </w:tc>
        <w:tc>
          <w:tcPr>
            <w:tcW w:w="7411" w:type="dxa"/>
            <w:noWrap/>
            <w:vAlign w:val="center"/>
          </w:tcPr>
          <w:p>
            <w:pPr>
              <w:pStyle w:val="11"/>
              <w:adjustRightInd w:val="0"/>
              <w:snapToGrid w:val="0"/>
              <w:jc w:val="left"/>
              <w:rPr>
                <w:rFonts w:hAnsi="宋体"/>
                <w:lang w:eastAsia="zh-CN"/>
              </w:rPr>
            </w:pPr>
            <w:r>
              <w:rPr>
                <w:rFonts w:hint="eastAsia" w:hAnsi="宋体"/>
                <w:lang w:eastAsia="zh-CN"/>
              </w:rPr>
              <w:t>仪器验收时，用户、供应商依合约内容条件逐一进行检查；仪器到货拆箱时，如发现设备及其附件有任何损坏、缺少，供应商应负责，不得推诿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trPr>
        <w:tc>
          <w:tcPr>
            <w:tcW w:w="1240" w:type="dxa"/>
            <w:vMerge w:val="continue"/>
            <w:noWrap/>
            <w:vAlign w:val="center"/>
          </w:tcPr>
          <w:p>
            <w:pPr>
              <w:pStyle w:val="10"/>
              <w:adjustRightInd w:val="0"/>
              <w:snapToGrid w:val="0"/>
              <w:spacing w:line="360" w:lineRule="auto"/>
              <w:jc w:val="center"/>
              <w:rPr>
                <w:rFonts w:hAnsi="宋体"/>
                <w:b/>
                <w:sz w:val="24"/>
                <w:lang w:eastAsia="zh-CN"/>
              </w:rPr>
            </w:pPr>
          </w:p>
        </w:tc>
        <w:tc>
          <w:tcPr>
            <w:tcW w:w="7411" w:type="dxa"/>
            <w:noWrap/>
            <w:vAlign w:val="center"/>
          </w:tcPr>
          <w:p>
            <w:pPr>
              <w:pStyle w:val="11"/>
              <w:adjustRightInd w:val="0"/>
              <w:snapToGrid w:val="0"/>
              <w:jc w:val="left"/>
              <w:rPr>
                <w:rFonts w:hAnsi="宋体"/>
                <w:lang w:eastAsia="zh-CN"/>
              </w:rPr>
            </w:pPr>
            <w:r>
              <w:rPr>
                <w:rFonts w:hint="eastAsia" w:hAnsi="宋体"/>
                <w:lang w:eastAsia="zh-CN"/>
              </w:rPr>
              <w:t>供应商应提供安装调试过程中的各种文档资料，以便于用户能掌握仪器的操作和维修方法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trPr>
        <w:tc>
          <w:tcPr>
            <w:tcW w:w="1240" w:type="dxa"/>
            <w:vMerge w:val="continue"/>
            <w:noWrap/>
            <w:vAlign w:val="center"/>
          </w:tcPr>
          <w:p>
            <w:pPr>
              <w:pStyle w:val="10"/>
              <w:adjustRightInd w:val="0"/>
              <w:snapToGrid w:val="0"/>
              <w:spacing w:line="360" w:lineRule="auto"/>
              <w:jc w:val="center"/>
              <w:rPr>
                <w:rFonts w:hAnsi="宋体"/>
                <w:b/>
                <w:sz w:val="24"/>
                <w:lang w:eastAsia="zh-CN"/>
              </w:rPr>
            </w:pPr>
          </w:p>
        </w:tc>
        <w:tc>
          <w:tcPr>
            <w:tcW w:w="7411" w:type="dxa"/>
            <w:noWrap/>
            <w:vAlign w:val="center"/>
          </w:tcPr>
          <w:p>
            <w:pPr>
              <w:pStyle w:val="11"/>
              <w:adjustRightInd w:val="0"/>
              <w:snapToGrid w:val="0"/>
              <w:jc w:val="left"/>
              <w:rPr>
                <w:rFonts w:hAnsi="宋体"/>
                <w:lang w:eastAsia="zh-CN"/>
              </w:rPr>
            </w:pPr>
            <w:r>
              <w:rPr>
                <w:rFonts w:hint="eastAsia" w:hAnsi="宋体"/>
                <w:lang w:eastAsia="zh-CN"/>
              </w:rPr>
              <w:t>仪器安装调试完成后，供应商应向用户提供安装调试报告，报告中应包括安装调试结果和安装调试过程中出现的问题及解决办法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trPr>
        <w:tc>
          <w:tcPr>
            <w:tcW w:w="1240" w:type="dxa"/>
            <w:vMerge w:val="continue"/>
            <w:noWrap/>
            <w:vAlign w:val="center"/>
          </w:tcPr>
          <w:p>
            <w:pPr>
              <w:pStyle w:val="10"/>
              <w:adjustRightInd w:val="0"/>
              <w:snapToGrid w:val="0"/>
              <w:spacing w:line="360" w:lineRule="auto"/>
              <w:jc w:val="center"/>
              <w:rPr>
                <w:rFonts w:hAnsi="宋体"/>
                <w:b/>
                <w:sz w:val="24"/>
                <w:lang w:eastAsia="zh-CN"/>
              </w:rPr>
            </w:pPr>
          </w:p>
        </w:tc>
        <w:tc>
          <w:tcPr>
            <w:tcW w:w="7411" w:type="dxa"/>
            <w:noWrap/>
            <w:vAlign w:val="center"/>
          </w:tcPr>
          <w:p>
            <w:pPr>
              <w:pStyle w:val="11"/>
              <w:adjustRightInd w:val="0"/>
              <w:snapToGrid w:val="0"/>
              <w:jc w:val="left"/>
              <w:rPr>
                <w:rFonts w:hAnsi="宋体"/>
                <w:lang w:eastAsia="zh-CN"/>
              </w:rPr>
            </w:pPr>
            <w:r>
              <w:rPr>
                <w:rFonts w:hint="eastAsia" w:hAnsi="宋体"/>
                <w:lang w:eastAsia="zh-CN"/>
              </w:rPr>
              <w:t>仪器保修期内，零件更换等寄送费用，由供应商负责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trPr>
        <w:tc>
          <w:tcPr>
            <w:tcW w:w="1240" w:type="dxa"/>
            <w:vMerge w:val="continue"/>
            <w:noWrap/>
            <w:vAlign w:val="center"/>
          </w:tcPr>
          <w:p>
            <w:pPr>
              <w:pStyle w:val="10"/>
              <w:adjustRightInd w:val="0"/>
              <w:snapToGrid w:val="0"/>
              <w:spacing w:line="360" w:lineRule="auto"/>
              <w:jc w:val="center"/>
              <w:rPr>
                <w:rFonts w:hAnsi="宋体"/>
                <w:b/>
                <w:sz w:val="24"/>
                <w:lang w:eastAsia="zh-CN"/>
              </w:rPr>
            </w:pPr>
          </w:p>
        </w:tc>
        <w:tc>
          <w:tcPr>
            <w:tcW w:w="7411" w:type="dxa"/>
            <w:noWrap/>
            <w:vAlign w:val="center"/>
          </w:tcPr>
          <w:p>
            <w:pPr>
              <w:pStyle w:val="11"/>
              <w:adjustRightInd w:val="0"/>
              <w:snapToGrid w:val="0"/>
              <w:jc w:val="left"/>
              <w:rPr>
                <w:rFonts w:hAnsi="宋体"/>
                <w:lang w:eastAsia="zh-CN"/>
              </w:rPr>
            </w:pPr>
            <w:r>
              <w:rPr>
                <w:rFonts w:hint="eastAsia" w:hAnsi="宋体"/>
                <w:lang w:eastAsia="zh-CN"/>
              </w:rPr>
              <w:t>供应商在报价中需要将所有需要提供的配件列举清楚，若有列举不明之项目，发生费用则全部由供应商承担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trPr>
        <w:tc>
          <w:tcPr>
            <w:tcW w:w="1240" w:type="dxa"/>
            <w:vMerge w:val="restart"/>
            <w:noWrap/>
            <w:vAlign w:val="center"/>
          </w:tcPr>
          <w:p>
            <w:pPr>
              <w:pStyle w:val="10"/>
              <w:adjustRightInd w:val="0"/>
              <w:snapToGrid w:val="0"/>
              <w:spacing w:line="360" w:lineRule="auto"/>
              <w:jc w:val="center"/>
              <w:rPr>
                <w:rFonts w:hAnsi="宋体"/>
                <w:b/>
                <w:sz w:val="24"/>
                <w:lang w:eastAsia="zh-CN"/>
              </w:rPr>
            </w:pPr>
            <w:r>
              <w:rPr>
                <w:rFonts w:hAnsi="宋体"/>
                <w:b/>
                <w:sz w:val="24"/>
                <w:lang w:eastAsia="zh-CN"/>
              </w:rPr>
              <w:t>文件</w:t>
            </w:r>
            <w:r>
              <w:rPr>
                <w:rFonts w:hint="eastAsia" w:hAnsi="宋体"/>
                <w:b/>
                <w:sz w:val="24"/>
                <w:lang w:eastAsia="zh-CN"/>
              </w:rPr>
              <w:t>资料</w:t>
            </w:r>
          </w:p>
          <w:p>
            <w:pPr>
              <w:pStyle w:val="10"/>
              <w:adjustRightInd w:val="0"/>
              <w:snapToGrid w:val="0"/>
              <w:spacing w:line="360" w:lineRule="auto"/>
              <w:jc w:val="center"/>
              <w:rPr>
                <w:rFonts w:hAnsi="宋体"/>
                <w:b/>
                <w:sz w:val="24"/>
                <w:lang w:eastAsia="zh-CN"/>
              </w:rPr>
            </w:pPr>
            <w:r>
              <w:rPr>
                <w:rFonts w:hint="eastAsia" w:hAnsi="宋体"/>
                <w:b/>
                <w:sz w:val="24"/>
                <w:lang w:eastAsia="zh-CN"/>
              </w:rPr>
              <w:t>（包括3Q文件）</w:t>
            </w:r>
          </w:p>
        </w:tc>
        <w:tc>
          <w:tcPr>
            <w:tcW w:w="7411" w:type="dxa"/>
            <w:noWrap/>
            <w:vAlign w:val="center"/>
          </w:tcPr>
          <w:p>
            <w:pPr>
              <w:pStyle w:val="11"/>
              <w:adjustRightInd w:val="0"/>
              <w:snapToGrid w:val="0"/>
              <w:jc w:val="left"/>
              <w:rPr>
                <w:rFonts w:hAnsi="宋体"/>
                <w:lang w:eastAsia="zh-CN"/>
              </w:rPr>
            </w:pPr>
            <w:r>
              <w:rPr>
                <w:rFonts w:hint="eastAsia" w:hAnsi="宋体"/>
                <w:lang w:eastAsia="zh-CN"/>
              </w:rPr>
              <w:t>设备装箱清单、各个主要部件合格证书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trPr>
        <w:tc>
          <w:tcPr>
            <w:tcW w:w="1240" w:type="dxa"/>
            <w:vMerge w:val="continue"/>
            <w:noWrap/>
            <w:vAlign w:val="center"/>
          </w:tcPr>
          <w:p>
            <w:pPr>
              <w:pStyle w:val="10"/>
              <w:adjustRightInd w:val="0"/>
              <w:snapToGrid w:val="0"/>
              <w:spacing w:line="360" w:lineRule="auto"/>
              <w:jc w:val="center"/>
              <w:rPr>
                <w:rFonts w:hAnsi="宋体"/>
                <w:b/>
                <w:sz w:val="24"/>
                <w:lang w:eastAsia="zh-CN"/>
              </w:rPr>
            </w:pPr>
          </w:p>
        </w:tc>
        <w:tc>
          <w:tcPr>
            <w:tcW w:w="7411" w:type="dxa"/>
            <w:noWrap/>
            <w:vAlign w:val="center"/>
          </w:tcPr>
          <w:p>
            <w:pPr>
              <w:pStyle w:val="11"/>
              <w:adjustRightInd w:val="0"/>
              <w:snapToGrid w:val="0"/>
              <w:jc w:val="left"/>
              <w:rPr>
                <w:rFonts w:hAnsi="宋体"/>
                <w:lang w:eastAsia="zh-CN"/>
              </w:rPr>
            </w:pPr>
            <w:r>
              <w:rPr>
                <w:rFonts w:hint="eastAsia" w:hAnsi="宋体"/>
                <w:lang w:eastAsia="zh-CN"/>
              </w:rPr>
              <w:t>仪器供应商应提供操作手册包括以下内容：技术数据、安装和空间要求、使用说明书、维护说明书、推荐的备件等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trPr>
        <w:tc>
          <w:tcPr>
            <w:tcW w:w="1240" w:type="dxa"/>
            <w:vMerge w:val="continue"/>
            <w:noWrap/>
            <w:vAlign w:val="center"/>
          </w:tcPr>
          <w:p>
            <w:pPr>
              <w:pStyle w:val="10"/>
              <w:adjustRightInd w:val="0"/>
              <w:snapToGrid w:val="0"/>
              <w:spacing w:line="360" w:lineRule="auto"/>
              <w:jc w:val="center"/>
              <w:rPr>
                <w:rFonts w:hAnsi="宋体"/>
                <w:b/>
                <w:sz w:val="24"/>
                <w:lang w:eastAsia="zh-CN"/>
              </w:rPr>
            </w:pPr>
          </w:p>
        </w:tc>
        <w:tc>
          <w:tcPr>
            <w:tcW w:w="7411" w:type="dxa"/>
            <w:noWrap/>
            <w:vAlign w:val="center"/>
          </w:tcPr>
          <w:p>
            <w:pPr>
              <w:pStyle w:val="11"/>
              <w:adjustRightInd w:val="0"/>
              <w:snapToGrid w:val="0"/>
              <w:jc w:val="left"/>
              <w:rPr>
                <w:rFonts w:hAnsi="宋体"/>
                <w:lang w:eastAsia="zh-CN"/>
              </w:rPr>
            </w:pPr>
            <w:r>
              <w:rPr>
                <w:rFonts w:hint="eastAsia" w:hAnsi="宋体"/>
                <w:lang w:eastAsia="zh-CN"/>
              </w:rPr>
              <w:t>安装前提供仪器的IQ 、OQ 、PQ 确认文件等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trPr>
        <w:tc>
          <w:tcPr>
            <w:tcW w:w="1240" w:type="dxa"/>
            <w:vMerge w:val="continue"/>
            <w:noWrap/>
            <w:vAlign w:val="center"/>
          </w:tcPr>
          <w:p>
            <w:pPr>
              <w:pStyle w:val="10"/>
              <w:adjustRightInd w:val="0"/>
              <w:snapToGrid w:val="0"/>
              <w:spacing w:line="360" w:lineRule="auto"/>
              <w:jc w:val="center"/>
              <w:rPr>
                <w:rFonts w:hAnsi="宋体"/>
                <w:b/>
                <w:sz w:val="24"/>
                <w:lang w:eastAsia="zh-CN"/>
              </w:rPr>
            </w:pPr>
          </w:p>
        </w:tc>
        <w:tc>
          <w:tcPr>
            <w:tcW w:w="7411" w:type="dxa"/>
            <w:noWrap/>
            <w:vAlign w:val="center"/>
          </w:tcPr>
          <w:p>
            <w:pPr>
              <w:pStyle w:val="11"/>
              <w:adjustRightInd w:val="0"/>
              <w:snapToGrid w:val="0"/>
              <w:jc w:val="left"/>
              <w:rPr>
                <w:rFonts w:hAnsi="宋体"/>
                <w:lang w:eastAsia="zh-CN"/>
              </w:rPr>
            </w:pPr>
            <w:r>
              <w:rPr>
                <w:rFonts w:hint="eastAsia" w:hAnsi="宋体"/>
                <w:lang w:eastAsia="zh-CN"/>
              </w:rPr>
              <w:t>供方提供的技术文件应完整清晰、便于查阅，中文编写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trPr>
        <w:tc>
          <w:tcPr>
            <w:tcW w:w="1240" w:type="dxa"/>
            <w:vMerge w:val="restart"/>
            <w:noWrap/>
            <w:vAlign w:val="center"/>
          </w:tcPr>
          <w:p>
            <w:pPr>
              <w:pStyle w:val="11"/>
              <w:adjustRightInd w:val="0"/>
              <w:snapToGrid w:val="0"/>
              <w:rPr>
                <w:rFonts w:hAnsi="宋体"/>
                <w:b/>
                <w:bCs w:val="0"/>
                <w:lang w:eastAsia="zh-CN"/>
              </w:rPr>
            </w:pPr>
            <w:bookmarkStart w:id="1" w:name="_Toc422605246"/>
            <w:r>
              <w:rPr>
                <w:rFonts w:hint="eastAsia" w:hAnsi="宋体"/>
                <w:b/>
                <w:bCs w:val="0"/>
                <w:lang w:eastAsia="zh-CN"/>
              </w:rPr>
              <w:t>维护要求</w:t>
            </w:r>
            <w:bookmarkEnd w:id="1"/>
          </w:p>
          <w:p>
            <w:pPr>
              <w:pStyle w:val="11"/>
              <w:adjustRightInd w:val="0"/>
              <w:snapToGrid w:val="0"/>
              <w:rPr>
                <w:rFonts w:hAnsi="宋体"/>
                <w:b/>
                <w:bCs w:val="0"/>
                <w:lang w:eastAsia="zh-CN"/>
              </w:rPr>
            </w:pPr>
          </w:p>
        </w:tc>
        <w:tc>
          <w:tcPr>
            <w:tcW w:w="7411" w:type="dxa"/>
            <w:noWrap/>
            <w:vAlign w:val="center"/>
          </w:tcPr>
          <w:p>
            <w:pPr>
              <w:pStyle w:val="11"/>
              <w:adjustRightInd w:val="0"/>
              <w:snapToGrid w:val="0"/>
              <w:jc w:val="left"/>
              <w:rPr>
                <w:rFonts w:hAnsi="宋体"/>
                <w:lang w:eastAsia="zh-CN"/>
              </w:rPr>
            </w:pPr>
            <w:r>
              <w:rPr>
                <w:rFonts w:hint="eastAsia" w:hAnsi="宋体"/>
                <w:lang w:eastAsia="zh-CN"/>
              </w:rPr>
              <w:t>供应商应该提供包括所有仪器及其辅助设备的预防性维护保养计划，计划至少包括如下内容：需要进行保养的仪器辅助设备、需要进行保养的有零件号的相关零件、维护保养说明书、保养的频率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trPr>
        <w:tc>
          <w:tcPr>
            <w:tcW w:w="1240" w:type="dxa"/>
            <w:vMerge w:val="continue"/>
            <w:noWrap/>
            <w:vAlign w:val="center"/>
          </w:tcPr>
          <w:p>
            <w:pPr>
              <w:pStyle w:val="10"/>
              <w:adjustRightInd w:val="0"/>
              <w:snapToGrid w:val="0"/>
              <w:spacing w:line="360" w:lineRule="auto"/>
              <w:jc w:val="center"/>
              <w:rPr>
                <w:rFonts w:hAnsi="宋体"/>
                <w:b/>
                <w:sz w:val="24"/>
                <w:lang w:eastAsia="zh-CN"/>
              </w:rPr>
            </w:pPr>
          </w:p>
        </w:tc>
        <w:tc>
          <w:tcPr>
            <w:tcW w:w="7411" w:type="dxa"/>
            <w:noWrap/>
            <w:vAlign w:val="center"/>
          </w:tcPr>
          <w:p>
            <w:pPr>
              <w:pStyle w:val="11"/>
              <w:adjustRightInd w:val="0"/>
              <w:snapToGrid w:val="0"/>
              <w:jc w:val="left"/>
              <w:rPr>
                <w:rFonts w:hAnsi="宋体"/>
                <w:lang w:eastAsia="zh-CN"/>
              </w:rPr>
            </w:pPr>
            <w:r>
              <w:rPr>
                <w:rFonts w:hint="eastAsia" w:hAnsi="宋体"/>
                <w:lang w:eastAsia="zh-CN"/>
              </w:rPr>
              <w:t>验收合格之日起，设备免费维保至少一年，其配件应注明免费保修期，并做好长期的售后服务，有效日为安装完成验收日起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trPr>
        <w:tc>
          <w:tcPr>
            <w:tcW w:w="1240" w:type="dxa"/>
            <w:vMerge w:val="restart"/>
            <w:noWrap/>
            <w:vAlign w:val="center"/>
          </w:tcPr>
          <w:p>
            <w:pPr>
              <w:pStyle w:val="11"/>
              <w:adjustRightInd w:val="0"/>
              <w:snapToGrid w:val="0"/>
              <w:rPr>
                <w:rFonts w:hAnsi="宋体"/>
                <w:b/>
                <w:bCs w:val="0"/>
              </w:rPr>
            </w:pPr>
            <w:r>
              <w:rPr>
                <w:rFonts w:hint="eastAsia" w:hAnsi="宋体"/>
                <w:b/>
                <w:bCs w:val="0"/>
              </w:rPr>
              <w:t>包装和运输要求</w:t>
            </w:r>
          </w:p>
          <w:p>
            <w:pPr>
              <w:pStyle w:val="11"/>
              <w:adjustRightInd w:val="0"/>
              <w:snapToGrid w:val="0"/>
              <w:rPr>
                <w:rFonts w:hAnsi="宋体"/>
                <w:b/>
                <w:bCs w:val="0"/>
                <w:lang w:eastAsia="zh-CN"/>
              </w:rPr>
            </w:pPr>
          </w:p>
        </w:tc>
        <w:tc>
          <w:tcPr>
            <w:tcW w:w="7411" w:type="dxa"/>
            <w:noWrap/>
            <w:vAlign w:val="center"/>
          </w:tcPr>
          <w:p>
            <w:pPr>
              <w:pStyle w:val="11"/>
              <w:adjustRightInd w:val="0"/>
              <w:snapToGrid w:val="0"/>
              <w:jc w:val="left"/>
              <w:rPr>
                <w:rFonts w:hAnsi="宋体"/>
                <w:lang w:eastAsia="zh-CN"/>
              </w:rPr>
            </w:pPr>
            <w:r>
              <w:rPr>
                <w:rFonts w:hint="eastAsia" w:hAnsi="宋体"/>
                <w:lang w:eastAsia="zh-CN"/>
              </w:rPr>
              <w:t>包装满足运输和装卸要求，防潮湿、防磕碰、防振动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6" w:hRule="atLeast"/>
        </w:trPr>
        <w:tc>
          <w:tcPr>
            <w:tcW w:w="1240" w:type="dxa"/>
            <w:vMerge w:val="continue"/>
            <w:vAlign w:val="center"/>
          </w:tcPr>
          <w:p>
            <w:pPr>
              <w:pStyle w:val="11"/>
              <w:adjustRightInd w:val="0"/>
              <w:snapToGrid w:val="0"/>
              <w:rPr>
                <w:rFonts w:hAnsi="宋体"/>
                <w:b/>
                <w:bCs w:val="0"/>
                <w:lang w:eastAsia="zh-CN"/>
              </w:rPr>
            </w:pPr>
          </w:p>
        </w:tc>
        <w:tc>
          <w:tcPr>
            <w:tcW w:w="7411" w:type="dxa"/>
            <w:vAlign w:val="center"/>
          </w:tcPr>
          <w:p>
            <w:pPr>
              <w:pStyle w:val="11"/>
              <w:adjustRightInd w:val="0"/>
              <w:snapToGrid w:val="0"/>
              <w:jc w:val="left"/>
              <w:rPr>
                <w:rFonts w:hAnsi="宋体"/>
                <w:lang w:eastAsia="zh-CN"/>
              </w:rPr>
            </w:pPr>
            <w:r>
              <w:rPr>
                <w:rFonts w:hint="eastAsia" w:hAnsi="宋体"/>
                <w:lang w:eastAsia="zh-CN"/>
              </w:rPr>
              <w:t>运输时间包含在供货周期内，供方负责运输到需方实验室内，并承担运输费用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6" w:hRule="atLeast"/>
        </w:trPr>
        <w:tc>
          <w:tcPr>
            <w:tcW w:w="1240" w:type="dxa"/>
            <w:vMerge w:val="restart"/>
            <w:vAlign w:val="center"/>
          </w:tcPr>
          <w:p>
            <w:pPr>
              <w:pStyle w:val="11"/>
              <w:adjustRightInd w:val="0"/>
              <w:snapToGrid w:val="0"/>
              <w:rPr>
                <w:rFonts w:hAnsi="宋体"/>
                <w:b/>
                <w:bCs w:val="0"/>
                <w:lang w:eastAsia="zh-CN"/>
              </w:rPr>
            </w:pPr>
            <w:r>
              <w:rPr>
                <w:rFonts w:hint="eastAsia" w:hAnsi="宋体"/>
                <w:b/>
                <w:bCs w:val="0"/>
                <w:lang w:eastAsia="zh-CN"/>
              </w:rPr>
              <w:t>设备与人员安全</w:t>
            </w:r>
          </w:p>
        </w:tc>
        <w:tc>
          <w:tcPr>
            <w:tcW w:w="7411" w:type="dxa"/>
            <w:vAlign w:val="center"/>
          </w:tcPr>
          <w:p>
            <w:pPr>
              <w:pStyle w:val="11"/>
              <w:adjustRightInd w:val="0"/>
              <w:snapToGrid w:val="0"/>
              <w:jc w:val="left"/>
              <w:rPr>
                <w:rFonts w:hAnsi="宋体"/>
                <w:lang w:eastAsia="zh-CN"/>
              </w:rPr>
            </w:pPr>
            <w:r>
              <w:rPr>
                <w:rFonts w:hint="eastAsia" w:hAnsi="宋体"/>
                <w:lang w:eastAsia="zh-CN"/>
              </w:rPr>
              <w:t>金属结构部位必须接地，以防止静电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trPr>
        <w:tc>
          <w:tcPr>
            <w:tcW w:w="1240" w:type="dxa"/>
            <w:vMerge w:val="continue"/>
            <w:vAlign w:val="center"/>
          </w:tcPr>
          <w:p>
            <w:pPr>
              <w:pStyle w:val="11"/>
              <w:adjustRightInd w:val="0"/>
              <w:snapToGrid w:val="0"/>
              <w:rPr>
                <w:rFonts w:hAnsi="宋体"/>
                <w:b/>
                <w:bCs w:val="0"/>
                <w:lang w:eastAsia="zh-CN"/>
              </w:rPr>
            </w:pPr>
          </w:p>
        </w:tc>
        <w:tc>
          <w:tcPr>
            <w:tcW w:w="7411" w:type="dxa"/>
            <w:vAlign w:val="center"/>
          </w:tcPr>
          <w:p>
            <w:pPr>
              <w:pStyle w:val="11"/>
              <w:adjustRightInd w:val="0"/>
              <w:snapToGrid w:val="0"/>
              <w:jc w:val="left"/>
              <w:rPr>
                <w:rFonts w:hAnsi="宋体"/>
                <w:lang w:eastAsia="zh-CN"/>
              </w:rPr>
            </w:pPr>
            <w:r>
              <w:rPr>
                <w:rFonts w:hint="eastAsia" w:hAnsi="宋体"/>
                <w:lang w:eastAsia="zh-CN"/>
              </w:rPr>
              <w:t>必须确保人员在安装，维修和使用情况下的安全性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trPr>
        <w:tc>
          <w:tcPr>
            <w:tcW w:w="1240" w:type="dxa"/>
            <w:vMerge w:val="restart"/>
            <w:vAlign w:val="center"/>
          </w:tcPr>
          <w:p>
            <w:pPr>
              <w:pStyle w:val="10"/>
              <w:adjustRightInd w:val="0"/>
              <w:snapToGrid w:val="0"/>
              <w:spacing w:line="360" w:lineRule="auto"/>
              <w:jc w:val="center"/>
              <w:rPr>
                <w:rFonts w:hAnsi="宋体"/>
                <w:b/>
                <w:sz w:val="24"/>
                <w:lang w:eastAsia="zh-CN"/>
              </w:rPr>
            </w:pPr>
            <w:r>
              <w:rPr>
                <w:rFonts w:hint="eastAsia" w:hAnsi="宋体"/>
                <w:b/>
                <w:sz w:val="24"/>
                <w:lang w:eastAsia="zh-CN"/>
              </w:rPr>
              <w:t>维修和服务要求</w:t>
            </w:r>
          </w:p>
          <w:p>
            <w:pPr>
              <w:pStyle w:val="10"/>
              <w:adjustRightInd w:val="0"/>
              <w:snapToGrid w:val="0"/>
              <w:spacing w:line="360" w:lineRule="auto"/>
              <w:jc w:val="center"/>
              <w:rPr>
                <w:rFonts w:hAnsi="宋体"/>
                <w:b/>
                <w:sz w:val="24"/>
                <w:lang w:eastAsia="zh-CN"/>
              </w:rPr>
            </w:pPr>
          </w:p>
        </w:tc>
        <w:tc>
          <w:tcPr>
            <w:tcW w:w="7411" w:type="dxa"/>
            <w:vAlign w:val="center"/>
          </w:tcPr>
          <w:p>
            <w:pPr>
              <w:pStyle w:val="11"/>
              <w:adjustRightInd w:val="0"/>
              <w:snapToGrid w:val="0"/>
              <w:jc w:val="left"/>
              <w:rPr>
                <w:rFonts w:hAnsi="宋体"/>
                <w:lang w:eastAsia="zh-CN"/>
              </w:rPr>
            </w:pPr>
            <w:r>
              <w:rPr>
                <w:rFonts w:hint="eastAsia" w:hAnsi="宋体"/>
                <w:lang w:eastAsia="zh-CN"/>
              </w:rPr>
              <w:t>供应商应安排有资质人员负责提供设备安装调试服务工作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6" w:hRule="atLeast"/>
        </w:trPr>
        <w:tc>
          <w:tcPr>
            <w:tcW w:w="1240" w:type="dxa"/>
            <w:vMerge w:val="continue"/>
          </w:tcPr>
          <w:p>
            <w:pPr>
              <w:pStyle w:val="10"/>
              <w:adjustRightInd w:val="0"/>
              <w:snapToGrid w:val="0"/>
              <w:spacing w:line="360" w:lineRule="auto"/>
              <w:rPr>
                <w:rFonts w:hAnsi="宋体"/>
                <w:b/>
                <w:sz w:val="24"/>
                <w:lang w:eastAsia="zh-CN"/>
              </w:rPr>
            </w:pPr>
          </w:p>
        </w:tc>
        <w:tc>
          <w:tcPr>
            <w:tcW w:w="7411" w:type="dxa"/>
            <w:vAlign w:val="center"/>
          </w:tcPr>
          <w:p>
            <w:pPr>
              <w:pStyle w:val="11"/>
              <w:adjustRightInd w:val="0"/>
              <w:snapToGrid w:val="0"/>
              <w:jc w:val="left"/>
              <w:rPr>
                <w:rFonts w:hAnsi="宋体"/>
                <w:lang w:eastAsia="zh-CN"/>
              </w:rPr>
            </w:pPr>
            <w:r>
              <w:rPr>
                <w:rFonts w:hint="eastAsia" w:hAnsi="宋体"/>
                <w:lang w:eastAsia="zh-CN"/>
              </w:rPr>
              <w:t>供应商免费为相关人员提供最少一次现场培训，包括：仪器设备原理、设备操作及维护方法、校验、软件操作、系统功能说明及常见问题等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6" w:hRule="atLeast"/>
        </w:trPr>
        <w:tc>
          <w:tcPr>
            <w:tcW w:w="1240" w:type="dxa"/>
            <w:vMerge w:val="continue"/>
          </w:tcPr>
          <w:p>
            <w:pPr>
              <w:pStyle w:val="10"/>
              <w:adjustRightInd w:val="0"/>
              <w:snapToGrid w:val="0"/>
              <w:spacing w:line="360" w:lineRule="auto"/>
              <w:rPr>
                <w:rFonts w:hAnsi="宋体"/>
                <w:b/>
                <w:sz w:val="24"/>
                <w:lang w:eastAsia="zh-CN"/>
              </w:rPr>
            </w:pPr>
          </w:p>
        </w:tc>
        <w:tc>
          <w:tcPr>
            <w:tcW w:w="7411" w:type="dxa"/>
            <w:vAlign w:val="center"/>
          </w:tcPr>
          <w:p>
            <w:pPr>
              <w:pStyle w:val="11"/>
              <w:adjustRightInd w:val="0"/>
              <w:snapToGrid w:val="0"/>
              <w:jc w:val="left"/>
              <w:rPr>
                <w:rFonts w:hAnsi="宋体"/>
                <w:lang w:eastAsia="zh-CN"/>
              </w:rPr>
            </w:pPr>
            <w:r>
              <w:rPr>
                <w:rFonts w:hint="eastAsia" w:hAnsi="宋体"/>
                <w:lang w:eastAsia="zh-CN"/>
              </w:rPr>
              <w:t>仪器验收合格后，供应商需对仪器进行3Q确认，并应符合相关要求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1" w:hRule="atLeast"/>
        </w:trPr>
        <w:tc>
          <w:tcPr>
            <w:tcW w:w="1240" w:type="dxa"/>
            <w:vMerge w:val="continue"/>
          </w:tcPr>
          <w:p>
            <w:pPr>
              <w:pStyle w:val="10"/>
              <w:adjustRightInd w:val="0"/>
              <w:snapToGrid w:val="0"/>
              <w:spacing w:line="360" w:lineRule="auto"/>
              <w:rPr>
                <w:rFonts w:hAnsi="宋体"/>
                <w:b/>
                <w:sz w:val="24"/>
                <w:lang w:eastAsia="zh-CN"/>
              </w:rPr>
            </w:pPr>
          </w:p>
        </w:tc>
        <w:tc>
          <w:tcPr>
            <w:tcW w:w="7411" w:type="dxa"/>
            <w:vAlign w:val="center"/>
          </w:tcPr>
          <w:p>
            <w:pPr>
              <w:pStyle w:val="11"/>
              <w:adjustRightInd w:val="0"/>
              <w:snapToGrid w:val="0"/>
              <w:jc w:val="left"/>
              <w:rPr>
                <w:rFonts w:hAnsi="宋体"/>
                <w:lang w:eastAsia="zh-CN"/>
              </w:rPr>
            </w:pPr>
            <w:r>
              <w:rPr>
                <w:rFonts w:hint="eastAsia" w:hAnsi="宋体"/>
                <w:lang w:eastAsia="zh-CN"/>
              </w:rPr>
              <w:t>仪器在完成3Q确认后，如果出现软、硬件系统问题，免费保修期限1年，以保证系统的正常运行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6" w:hRule="atLeast"/>
        </w:trPr>
        <w:tc>
          <w:tcPr>
            <w:tcW w:w="1240" w:type="dxa"/>
            <w:vMerge w:val="continue"/>
          </w:tcPr>
          <w:p>
            <w:pPr>
              <w:pStyle w:val="10"/>
              <w:adjustRightInd w:val="0"/>
              <w:snapToGrid w:val="0"/>
              <w:spacing w:line="360" w:lineRule="auto"/>
              <w:rPr>
                <w:rFonts w:hAnsi="宋体"/>
                <w:b/>
                <w:sz w:val="24"/>
                <w:lang w:eastAsia="zh-CN"/>
              </w:rPr>
            </w:pPr>
          </w:p>
        </w:tc>
        <w:tc>
          <w:tcPr>
            <w:tcW w:w="7411" w:type="dxa"/>
            <w:vAlign w:val="center"/>
          </w:tcPr>
          <w:p>
            <w:pPr>
              <w:pStyle w:val="11"/>
              <w:adjustRightInd w:val="0"/>
              <w:snapToGrid w:val="0"/>
              <w:jc w:val="left"/>
              <w:rPr>
                <w:rFonts w:hAnsi="宋体"/>
                <w:lang w:eastAsia="zh-CN"/>
              </w:rPr>
            </w:pPr>
            <w:r>
              <w:rPr>
                <w:rFonts w:hint="eastAsia" w:hAnsi="宋体"/>
                <w:lang w:eastAsia="zh-CN"/>
              </w:rPr>
              <w:t>在其生命周期内，如因设备故障而需要维修，在维修后需要延长保修期限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6" w:hRule="atLeast"/>
        </w:trPr>
        <w:tc>
          <w:tcPr>
            <w:tcW w:w="1240" w:type="dxa"/>
            <w:vMerge w:val="continue"/>
          </w:tcPr>
          <w:p>
            <w:pPr>
              <w:pStyle w:val="10"/>
              <w:adjustRightInd w:val="0"/>
              <w:snapToGrid w:val="0"/>
              <w:spacing w:line="360" w:lineRule="auto"/>
              <w:rPr>
                <w:rFonts w:hAnsi="宋体"/>
                <w:b/>
                <w:sz w:val="24"/>
                <w:lang w:eastAsia="zh-CN"/>
              </w:rPr>
            </w:pPr>
          </w:p>
        </w:tc>
        <w:tc>
          <w:tcPr>
            <w:tcW w:w="7411" w:type="dxa"/>
            <w:vAlign w:val="center"/>
          </w:tcPr>
          <w:p>
            <w:pPr>
              <w:pStyle w:val="11"/>
              <w:adjustRightInd w:val="0"/>
              <w:snapToGrid w:val="0"/>
              <w:jc w:val="left"/>
              <w:rPr>
                <w:rFonts w:hAnsi="宋体"/>
                <w:lang w:eastAsia="zh-CN"/>
              </w:rPr>
            </w:pPr>
            <w:r>
              <w:rPr>
                <w:rFonts w:hint="eastAsia" w:hAnsi="宋体"/>
                <w:lang w:eastAsia="zh-CN"/>
              </w:rPr>
              <w:t>设备供应商在接到公司故障报告后2小时内响应；需现场维修的故障，供应商工程师应保证在48小时内到达现场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6" w:hRule="atLeast"/>
        </w:trPr>
        <w:tc>
          <w:tcPr>
            <w:tcW w:w="8651" w:type="dxa"/>
            <w:gridSpan w:val="2"/>
          </w:tcPr>
          <w:p>
            <w:pPr>
              <w:rPr>
                <w:rFonts w:hAnsi="宋体"/>
                <w:sz w:val="24"/>
              </w:rPr>
            </w:pPr>
            <w:r>
              <w:rPr>
                <w:rFonts w:hint="eastAsia" w:hAnsi="宋体"/>
                <w:sz w:val="24"/>
              </w:rPr>
              <w:t>若有任何问题应于契约订定前先知会我方在合约上说明，否则各项均列入仪器到货验收时之依据</w:t>
            </w:r>
          </w:p>
        </w:tc>
      </w:tr>
    </w:tbl>
    <w:p>
      <w:pPr>
        <w:rPr>
          <w:b/>
          <w:bCs/>
          <w:sz w:val="24"/>
        </w:rPr>
      </w:pPr>
    </w:p>
    <w:p>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16421"/>
    <w:rsid w:val="000317B6"/>
    <w:rsid w:val="00051F0E"/>
    <w:rsid w:val="000572EB"/>
    <w:rsid w:val="000C0735"/>
    <w:rsid w:val="000C5C22"/>
    <w:rsid w:val="000D3ED3"/>
    <w:rsid w:val="000F03B9"/>
    <w:rsid w:val="000F6121"/>
    <w:rsid w:val="000F6A9A"/>
    <w:rsid w:val="00111C47"/>
    <w:rsid w:val="00114F36"/>
    <w:rsid w:val="00125F28"/>
    <w:rsid w:val="00155DBE"/>
    <w:rsid w:val="001658EC"/>
    <w:rsid w:val="001700DC"/>
    <w:rsid w:val="001777FF"/>
    <w:rsid w:val="001D2376"/>
    <w:rsid w:val="00233831"/>
    <w:rsid w:val="00273825"/>
    <w:rsid w:val="00296097"/>
    <w:rsid w:val="002C287F"/>
    <w:rsid w:val="0031519D"/>
    <w:rsid w:val="00320E2D"/>
    <w:rsid w:val="0034638F"/>
    <w:rsid w:val="003477B2"/>
    <w:rsid w:val="00375043"/>
    <w:rsid w:val="0039182E"/>
    <w:rsid w:val="003D4E91"/>
    <w:rsid w:val="00415481"/>
    <w:rsid w:val="00435B88"/>
    <w:rsid w:val="004B4D7E"/>
    <w:rsid w:val="004E6FFB"/>
    <w:rsid w:val="004F40E2"/>
    <w:rsid w:val="00552A18"/>
    <w:rsid w:val="005851CE"/>
    <w:rsid w:val="00600F0F"/>
    <w:rsid w:val="00625AA9"/>
    <w:rsid w:val="0062646B"/>
    <w:rsid w:val="00646604"/>
    <w:rsid w:val="0066639D"/>
    <w:rsid w:val="006B0E6D"/>
    <w:rsid w:val="006B2CD3"/>
    <w:rsid w:val="006D6AB1"/>
    <w:rsid w:val="006E43F5"/>
    <w:rsid w:val="0075312A"/>
    <w:rsid w:val="007A10C6"/>
    <w:rsid w:val="007A4DB6"/>
    <w:rsid w:val="007B6540"/>
    <w:rsid w:val="007D1772"/>
    <w:rsid w:val="007E0379"/>
    <w:rsid w:val="007F3FE7"/>
    <w:rsid w:val="0082102C"/>
    <w:rsid w:val="008579A1"/>
    <w:rsid w:val="008824EE"/>
    <w:rsid w:val="008B1447"/>
    <w:rsid w:val="008B3255"/>
    <w:rsid w:val="008C196B"/>
    <w:rsid w:val="0090401B"/>
    <w:rsid w:val="00913A69"/>
    <w:rsid w:val="0093535C"/>
    <w:rsid w:val="00937344"/>
    <w:rsid w:val="00940897"/>
    <w:rsid w:val="00942638"/>
    <w:rsid w:val="0097209F"/>
    <w:rsid w:val="009F7311"/>
    <w:rsid w:val="00A70054"/>
    <w:rsid w:val="00A72F41"/>
    <w:rsid w:val="00AD085A"/>
    <w:rsid w:val="00B05EE4"/>
    <w:rsid w:val="00B24157"/>
    <w:rsid w:val="00B40E02"/>
    <w:rsid w:val="00B83F8B"/>
    <w:rsid w:val="00B92827"/>
    <w:rsid w:val="00BA0CDA"/>
    <w:rsid w:val="00BB262C"/>
    <w:rsid w:val="00C10D4F"/>
    <w:rsid w:val="00C60243"/>
    <w:rsid w:val="00C74032"/>
    <w:rsid w:val="00CB24A1"/>
    <w:rsid w:val="00CB354F"/>
    <w:rsid w:val="00CB6E88"/>
    <w:rsid w:val="00D16421"/>
    <w:rsid w:val="00D42E68"/>
    <w:rsid w:val="00D76206"/>
    <w:rsid w:val="00DC46CF"/>
    <w:rsid w:val="00DF178C"/>
    <w:rsid w:val="00E06F28"/>
    <w:rsid w:val="00E2328C"/>
    <w:rsid w:val="00E52FA2"/>
    <w:rsid w:val="00E91C29"/>
    <w:rsid w:val="00EF68B4"/>
    <w:rsid w:val="00F154D8"/>
    <w:rsid w:val="00F34065"/>
    <w:rsid w:val="00F34D1C"/>
    <w:rsid w:val="00F46334"/>
    <w:rsid w:val="00F766FA"/>
    <w:rsid w:val="1F9513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6"/>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8">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17"/>
    <w:semiHidden/>
    <w:unhideWhenUsed/>
    <w:qFormat/>
    <w:uiPriority w:val="99"/>
    <w:rPr>
      <w:sz w:val="18"/>
      <w:szCs w:val="18"/>
    </w:rPr>
  </w:style>
  <w:style w:type="paragraph" w:styleId="4">
    <w:name w:val="footer"/>
    <w:basedOn w:val="1"/>
    <w:link w:val="13"/>
    <w:semiHidden/>
    <w:unhideWhenUsed/>
    <w:qFormat/>
    <w:uiPriority w:val="99"/>
    <w:pPr>
      <w:tabs>
        <w:tab w:val="center" w:pos="4153"/>
        <w:tab w:val="right" w:pos="8306"/>
      </w:tabs>
      <w:snapToGrid w:val="0"/>
      <w:jc w:val="left"/>
    </w:pPr>
    <w:rPr>
      <w:sz w:val="18"/>
      <w:szCs w:val="18"/>
    </w:rPr>
  </w:style>
  <w:style w:type="paragraph" w:styleId="5">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9">
    <w:name w:val="Strong"/>
    <w:basedOn w:val="8"/>
    <w:qFormat/>
    <w:uiPriority w:val="22"/>
    <w:rPr>
      <w:b/>
      <w:bCs/>
    </w:rPr>
  </w:style>
  <w:style w:type="paragraph" w:customStyle="1" w:styleId="10">
    <w:name w:val="Text"/>
    <w:basedOn w:val="1"/>
    <w:qFormat/>
    <w:uiPriority w:val="99"/>
    <w:rPr>
      <w:sz w:val="22"/>
      <w:lang w:eastAsia="en-US"/>
    </w:rPr>
  </w:style>
  <w:style w:type="paragraph" w:customStyle="1" w:styleId="11">
    <w:name w:val="Table Text"/>
    <w:basedOn w:val="1"/>
    <w:qFormat/>
    <w:uiPriority w:val="0"/>
    <w:pPr>
      <w:jc w:val="center"/>
    </w:pPr>
    <w:rPr>
      <w:bCs/>
      <w:sz w:val="24"/>
      <w:lang w:eastAsia="en-US"/>
    </w:rPr>
  </w:style>
  <w:style w:type="character" w:customStyle="1" w:styleId="12">
    <w:name w:val="页眉 Char"/>
    <w:basedOn w:val="8"/>
    <w:link w:val="5"/>
    <w:semiHidden/>
    <w:qFormat/>
    <w:uiPriority w:val="99"/>
    <w:rPr>
      <w:sz w:val="18"/>
      <w:szCs w:val="18"/>
    </w:rPr>
  </w:style>
  <w:style w:type="character" w:customStyle="1" w:styleId="13">
    <w:name w:val="页脚 Char"/>
    <w:basedOn w:val="8"/>
    <w:link w:val="4"/>
    <w:semiHidden/>
    <w:qFormat/>
    <w:uiPriority w:val="99"/>
    <w:rPr>
      <w:sz w:val="18"/>
      <w:szCs w:val="18"/>
    </w:rPr>
  </w:style>
  <w:style w:type="character" w:customStyle="1" w:styleId="14">
    <w:name w:val="font31"/>
    <w:basedOn w:val="8"/>
    <w:qFormat/>
    <w:uiPriority w:val="0"/>
    <w:rPr>
      <w:rFonts w:hint="eastAsia" w:ascii="宋体" w:hAnsi="宋体" w:eastAsia="宋体" w:cs="宋体"/>
      <w:color w:val="000000"/>
      <w:sz w:val="18"/>
      <w:szCs w:val="18"/>
      <w:u w:val="none"/>
    </w:rPr>
  </w:style>
  <w:style w:type="character" w:customStyle="1" w:styleId="15">
    <w:name w:val="font01"/>
    <w:basedOn w:val="8"/>
    <w:qFormat/>
    <w:uiPriority w:val="0"/>
    <w:rPr>
      <w:rFonts w:hint="default" w:ascii="Arial" w:hAnsi="Arial" w:cs="Arial"/>
      <w:color w:val="000000"/>
      <w:sz w:val="18"/>
      <w:szCs w:val="18"/>
      <w:u w:val="none"/>
    </w:rPr>
  </w:style>
  <w:style w:type="character" w:customStyle="1" w:styleId="16">
    <w:name w:val="标题 1 Char"/>
    <w:basedOn w:val="8"/>
    <w:link w:val="2"/>
    <w:qFormat/>
    <w:uiPriority w:val="9"/>
    <w:rPr>
      <w:rFonts w:ascii="宋体" w:hAnsi="宋体" w:eastAsia="宋体" w:cs="宋体"/>
      <w:b/>
      <w:bCs/>
      <w:kern w:val="36"/>
      <w:sz w:val="48"/>
      <w:szCs w:val="48"/>
    </w:rPr>
  </w:style>
  <w:style w:type="character" w:customStyle="1" w:styleId="17">
    <w:name w:val="批注框文本 Char"/>
    <w:basedOn w:val="8"/>
    <w:link w:val="3"/>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271</Words>
  <Characters>1545</Characters>
  <Lines>12</Lines>
  <Paragraphs>3</Paragraphs>
  <TotalTime>173</TotalTime>
  <ScaleCrop>false</ScaleCrop>
  <LinksUpToDate>false</LinksUpToDate>
  <CharactersWithSpaces>1813</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2020-06-04T08:11:00Z</dcterms:created>
  <dc:creator>liu66</dc:creator>
  <cp:lastModifiedBy>一剪梅             ༽</cp:lastModifiedBy>
  <dcterms:modified xsi:type="dcterms:W3CDTF">2020-06-15T07:28:19Z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